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A6" w:rsidRDefault="005629A6" w:rsidP="005629A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</w:pPr>
      <w:proofErr w:type="gramStart"/>
      <w:r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>Z Á P I S  č.</w:t>
      </w:r>
      <w:proofErr w:type="gramEnd"/>
      <w:r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 xml:space="preserve"> 4</w:t>
      </w:r>
    </w:p>
    <w:p w:rsidR="005629A6" w:rsidRDefault="005629A6" w:rsidP="005629A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</w:pPr>
    </w:p>
    <w:p w:rsidR="005629A6" w:rsidRDefault="005629A6" w:rsidP="005629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>o průběhu čtvrtého zasedání Zastupitelstva obce Popůvky,</w:t>
      </w:r>
    </w:p>
    <w:p w:rsidR="005629A6" w:rsidRDefault="005629A6" w:rsidP="005629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>konaného dne 18. 3. 2015 v zasedací místnosti Obecního úřadu Popůvky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Bod č. 1 – Zahájení technický bod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– Miluše Červená v 17.40 hodin zahájila zasedání Zastupitelstva obce Popůvky (dále jen „ZO Popůvky “), všechny přítomné přivítala, konstatovala, že ZO Popůvky bylo svoláno starostkou dne 9. 3. 2015 a informace o konání zasedání byla vyvěšena na úřední desce obecního úřadu dne 9. 3. 2015, tj. nejméně 7 dní před zasedáním. Zasedání tedy bylo svoláno řádně a včas v souladu s ustanovením § </w:t>
      </w:r>
      <w:smartTag w:uri="urn:schemas-microsoft-com:office:smarttags" w:element="metricconverter">
        <w:smartTagPr>
          <w:attr w:name="ProductID" w:val="91 a"/>
        </w:smartTagPr>
        <w:r>
          <w:rPr>
            <w:rFonts w:ascii="Arial" w:eastAsia="Times New Roman" w:hAnsi="Arial" w:cs="Arial"/>
            <w:sz w:val="24"/>
            <w:szCs w:val="20"/>
            <w:lang w:eastAsia="cs-CZ"/>
          </w:rPr>
          <w:t>91 a</w:t>
        </w:r>
      </w:smartTag>
      <w:r>
        <w:rPr>
          <w:rFonts w:ascii="Arial" w:eastAsia="Times New Roman" w:hAnsi="Arial" w:cs="Arial"/>
          <w:sz w:val="24"/>
          <w:szCs w:val="20"/>
          <w:lang w:eastAsia="cs-CZ"/>
        </w:rPr>
        <w:t xml:space="preserve"> 93 zákona o obcích.  Poté konstatovala, že dle prezenční listiny je přítomno 11 zastupitelů a zastupitelstvo je usnášeníschopné.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2 –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volba zapisovatelky a ověřovatelů zápisu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navrhla určit zapisovatelku zasedání ZO Radku Sojkovou, a za ověřovatele zápisu paní Zdeňku </w:t>
      </w:r>
      <w:proofErr w:type="spellStart"/>
      <w:r>
        <w:rPr>
          <w:rFonts w:ascii="Arial" w:eastAsia="Times New Roman" w:hAnsi="Arial" w:cs="Arial"/>
          <w:sz w:val="24"/>
          <w:szCs w:val="20"/>
          <w:lang w:eastAsia="cs-CZ"/>
        </w:rPr>
        <w:t>Debefovou</w:t>
      </w:r>
      <w:proofErr w:type="spell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a pana Michala Pazourka.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3- volba způsobu hlasování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Předsedající seznámila zastupitele s možností hlasovat o návrzích veřejně či tajně a 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navrhla, aby bylo hlasováno veřejně. Jiný návrh vznesen nebyl.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pro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–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11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>, proti – 0,   zdržel se – 0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1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ZO Popůvky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, že o návrzích přednesených na tomto zasedání se bude hlasovat veřejně. 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4 – </w:t>
      </w:r>
      <w:r>
        <w:rPr>
          <w:rFonts w:ascii="Arial" w:hAnsi="Arial" w:cs="Arial"/>
          <w:b/>
          <w:sz w:val="24"/>
          <w:szCs w:val="24"/>
          <w:u w:val="single"/>
        </w:rPr>
        <w:t xml:space="preserve">program zasedání </w:t>
      </w:r>
    </w:p>
    <w:p w:rsidR="005629A6" w:rsidRDefault="005629A6" w:rsidP="005629A6">
      <w:pPr>
        <w:pStyle w:val="Bezmezer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Předsedající navrhuje program rozšířit o jeden bod </w:t>
      </w:r>
    </w:p>
    <w:p w:rsidR="005629A6" w:rsidRDefault="005629A6" w:rsidP="005629A6">
      <w:pPr>
        <w:pStyle w:val="Odstavecseseznamem"/>
        <w:keepNext/>
        <w:numPr>
          <w:ilvl w:val="0"/>
          <w:numId w:val="2"/>
        </w:numPr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Dodatek č. 10 ke smlouvě o vkladu majetku do hospodaření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 </w:t>
      </w:r>
    </w:p>
    <w:p w:rsidR="005629A6" w:rsidRDefault="005629A6" w:rsidP="005629A6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</w:p>
    <w:p w:rsidR="005629A6" w:rsidRDefault="005629A6" w:rsidP="005629A6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 navrhuje znění programu takto: </w:t>
      </w:r>
    </w:p>
    <w:p w:rsidR="005629A6" w:rsidRDefault="005629A6" w:rsidP="005629A6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</w:rPr>
      </w:pPr>
    </w:p>
    <w:p w:rsidR="005629A6" w:rsidRDefault="005629A6" w:rsidP="005629A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Zahájení </w:t>
      </w:r>
    </w:p>
    <w:p w:rsidR="005629A6" w:rsidRDefault="005629A6" w:rsidP="005629A6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Schválení </w:t>
      </w:r>
      <w:proofErr w:type="gramStart"/>
      <w:r>
        <w:rPr>
          <w:rFonts w:ascii="Arial" w:eastAsia="Times New Roman" w:hAnsi="Arial" w:cs="Arial"/>
          <w:sz w:val="24"/>
          <w:szCs w:val="24"/>
        </w:rPr>
        <w:t>hlasování  (veřejné</w:t>
      </w:r>
      <w:proofErr w:type="gramEnd"/>
      <w:r>
        <w:rPr>
          <w:rFonts w:ascii="Arial" w:eastAsia="Times New Roman" w:hAnsi="Arial" w:cs="Arial"/>
          <w:sz w:val="24"/>
          <w:szCs w:val="24"/>
        </w:rPr>
        <w:t>, tajné)</w:t>
      </w:r>
    </w:p>
    <w:p w:rsidR="005629A6" w:rsidRDefault="005629A6" w:rsidP="005629A6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 </w:t>
      </w:r>
      <w:proofErr w:type="gramStart"/>
      <w:r>
        <w:rPr>
          <w:rFonts w:ascii="Arial" w:eastAsia="Times New Roman" w:hAnsi="Arial" w:cs="Arial"/>
          <w:sz w:val="24"/>
          <w:szCs w:val="24"/>
        </w:rPr>
        <w:t>Určení  zapisovatele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 ověřovatelů zápisu</w:t>
      </w:r>
    </w:p>
    <w:p w:rsidR="005629A6" w:rsidRDefault="005629A6" w:rsidP="005629A6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 Schválení programu zasedání</w:t>
      </w:r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5. Obecně závazná vyhláška č.1/2015 – dodatek č. 2- odpady </w:t>
      </w:r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6.  Smlouva o finanční spoluúčasti – úhrada opravy povrchu ul. Lesní</w:t>
      </w:r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7.  Schválení zařazení svého území do působnosti Místní akční skupiny Bobrava </w:t>
      </w:r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8.  Schválení členství obce ve spolku Místní akční skupina Bobrava </w:t>
      </w:r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9.  Schválení smlouvy o právu provést stavbu </w:t>
      </w:r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10.  Schválení účetní závěrky obce za rok 2014 </w:t>
      </w:r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11.  Rozpočtové opatření č. 4/2015 </w:t>
      </w:r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12.  Schválení </w:t>
      </w:r>
      <w:proofErr w:type="gramStart"/>
      <w:r>
        <w:rPr>
          <w:rFonts w:ascii="Arial" w:eastAsia="Times New Roman" w:hAnsi="Arial" w:cs="Arial"/>
          <w:sz w:val="24"/>
          <w:szCs w:val="24"/>
        </w:rPr>
        <w:t>příspěvku  TJ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SOKOL  </w:t>
      </w:r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13.  Diskuse </w:t>
      </w:r>
    </w:p>
    <w:p w:rsidR="005629A6" w:rsidRDefault="005629A6" w:rsidP="005629A6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14.  Závěr </w:t>
      </w:r>
    </w:p>
    <w:p w:rsidR="005629A6" w:rsidRDefault="005629A6" w:rsidP="005629A6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5629A6" w:rsidRDefault="005629A6" w:rsidP="005629A6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5629A6" w:rsidRDefault="005629A6" w:rsidP="005629A6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 pro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– 11,  proti – 0,   zdržel se – 0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Usnesení č. 3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program dnešního zasedání, tak jak byl předsedající navržen.    </w:t>
      </w: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</w:t>
      </w:r>
    </w:p>
    <w:p w:rsidR="005629A6" w:rsidRDefault="005629A6" w:rsidP="005629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5629A6" w:rsidRDefault="005629A6" w:rsidP="005629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5 –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Obecně závazná vyhláška č.1/2015 – dodatek č. 2- odpady</w:t>
      </w:r>
    </w:p>
    <w:p w:rsidR="005629A6" w:rsidRDefault="005629A6" w:rsidP="005629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Předsedající přednesla návrh OZV č.1/2015 dodatku </w:t>
      </w:r>
      <w:proofErr w:type="gramStart"/>
      <w:r>
        <w:rPr>
          <w:rFonts w:ascii="Arial" w:eastAsia="Times New Roman" w:hAnsi="Arial" w:cs="Arial"/>
          <w:sz w:val="24"/>
          <w:szCs w:val="24"/>
        </w:rPr>
        <w:t>č. 2 , ve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kterém se mění čl. 3 takto: </w:t>
      </w:r>
    </w:p>
    <w:p w:rsidR="005629A6" w:rsidRDefault="005629A6" w:rsidP="005629A6">
      <w:pPr>
        <w:pStyle w:val="Zkladntext"/>
        <w:ind w:left="720"/>
        <w:rPr>
          <w:rFonts w:ascii="Arial" w:hAnsi="Arial" w:cs="Arial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5629A6" w:rsidRDefault="005629A6" w:rsidP="005629A6">
      <w:pPr>
        <w:numPr>
          <w:ilvl w:val="0"/>
          <w:numId w:val="4"/>
        </w:numPr>
        <w:spacing w:before="120"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Sazba poplatku pro poplatníka dle čl. 1 písm. a) a b) této vyhlášky činí 550,-  Kč a je tvořena:</w:t>
      </w:r>
    </w:p>
    <w:p w:rsidR="005629A6" w:rsidRDefault="005629A6" w:rsidP="005629A6">
      <w:pPr>
        <w:keepLines/>
        <w:numPr>
          <w:ilvl w:val="1"/>
          <w:numId w:val="1"/>
        </w:numPr>
        <w:tabs>
          <w:tab w:val="left" w:pos="2520"/>
        </w:tabs>
        <w:spacing w:after="6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 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částky   50,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- Kč za sobu uvedenou v odstavci 1 a  kalendářní ok</w:t>
      </w:r>
    </w:p>
    <w:p w:rsidR="005629A6" w:rsidRDefault="005629A6" w:rsidP="005629A6">
      <w:pPr>
        <w:keepLines/>
        <w:numPr>
          <w:ilvl w:val="1"/>
          <w:numId w:val="1"/>
        </w:numPr>
        <w:tabs>
          <w:tab w:val="left" w:pos="2520"/>
        </w:tabs>
        <w:spacing w:after="6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 částky 500,- Kč za kalendářní rok.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Tato  je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stanovena  na základě skutečných nákladů obce předchozího roku na sběr a svoz netříděného komunálního odpadu za poplatníka a kalendářní rok.</w:t>
      </w:r>
    </w:p>
    <w:p w:rsidR="005629A6" w:rsidRDefault="005629A6" w:rsidP="005629A6">
      <w:pPr>
        <w:numPr>
          <w:ilvl w:val="0"/>
          <w:numId w:val="4"/>
        </w:numPr>
        <w:spacing w:before="120" w:after="12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Skutečné náklady roku 2014 na sběr a svoz netříděného komunálního odpadu činily: 971.117,- Kč a byly rozúčtovány takto:</w:t>
      </w:r>
    </w:p>
    <w:p w:rsidR="005629A6" w:rsidRDefault="005629A6" w:rsidP="005629A6">
      <w:pPr>
        <w:spacing w:after="0" w:line="288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Náklady 971 117 :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1727  (občané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s trvalým pobytem v obci, stavby určené k rekreaci, cizinci)  = 562 Kč. Z této částky je stanovena sazba poplatku dle čl. 3 odst. 1 písm. b) vyhlášky ve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výši  550,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- Kč. </w:t>
      </w:r>
    </w:p>
    <w:p w:rsidR="005629A6" w:rsidRDefault="005629A6" w:rsidP="005629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Hlasování –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11 pro, proti – 0, zdržel se – 0 </w:t>
      </w:r>
    </w:p>
    <w:p w:rsidR="005629A6" w:rsidRDefault="005629A6" w:rsidP="005629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Usnesení č. 3</w:t>
      </w:r>
    </w:p>
    <w:p w:rsidR="005629A6" w:rsidRDefault="005629A6" w:rsidP="005629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ZO Popůvky schvaluje </w:t>
      </w:r>
      <w:r>
        <w:rPr>
          <w:rFonts w:ascii="Arial" w:eastAsia="Times New Roman" w:hAnsi="Arial" w:cs="Arial"/>
          <w:sz w:val="24"/>
          <w:szCs w:val="24"/>
        </w:rPr>
        <w:t xml:space="preserve">Obecně závaznou vyhlášku č.1/2015 – dodatek č. 2, tak jak byl přednesen. </w:t>
      </w:r>
    </w:p>
    <w:p w:rsidR="005629A6" w:rsidRDefault="005629A6" w:rsidP="005629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</w:t>
      </w:r>
      <w:proofErr w:type="gramStart"/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č. 6 –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 Smlouva</w:t>
      </w:r>
      <w:proofErr w:type="gramEnd"/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o finanční spoluúčasti – úhrada opravy povrchu ul. Lesní</w:t>
      </w:r>
    </w:p>
    <w:p w:rsidR="005629A6" w:rsidRDefault="005629A6" w:rsidP="0056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Předsedající přednesla návrh smlouvy o finanční spoluúčasti na úhradě nákladů stavby. Předmětem smlouvy je oprava povrchu vozovky na ulici Lesní po vodovodu a podílení se na úhrad nákladů souvisejících s realizací výše uvedené stavby.  </w:t>
      </w:r>
    </w:p>
    <w:p w:rsidR="005629A6" w:rsidRDefault="005629A6" w:rsidP="0056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Investorem </w:t>
      </w:r>
      <w:proofErr w:type="gramStart"/>
      <w:r>
        <w:rPr>
          <w:rFonts w:ascii="Arial" w:hAnsi="Arial" w:cs="Arial"/>
          <w:sz w:val="24"/>
          <w:szCs w:val="24"/>
        </w:rPr>
        <w:t>celé  akce</w:t>
      </w:r>
      <w:proofErr w:type="gramEnd"/>
      <w:r>
        <w:rPr>
          <w:rFonts w:ascii="Arial" w:hAnsi="Arial" w:cs="Arial"/>
          <w:sz w:val="24"/>
          <w:szCs w:val="24"/>
        </w:rPr>
        <w:t xml:space="preserve">  je Svazek </w:t>
      </w:r>
      <w:proofErr w:type="spellStart"/>
      <w:r>
        <w:rPr>
          <w:rFonts w:ascii="Arial" w:hAnsi="Arial" w:cs="Arial"/>
          <w:sz w:val="24"/>
          <w:szCs w:val="24"/>
        </w:rPr>
        <w:t>VaK</w:t>
      </w:r>
      <w:proofErr w:type="spellEnd"/>
      <w:r>
        <w:rPr>
          <w:rFonts w:ascii="Arial" w:hAnsi="Arial" w:cs="Arial"/>
          <w:sz w:val="24"/>
          <w:szCs w:val="24"/>
        </w:rPr>
        <w:t xml:space="preserve"> Ivančice. Obec uhradí svůj finanční podíl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Nákladech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stavby formou příspěvku ve výši 1 228 802,- Kč bez DPH.  Obec nebude platit DPH, protože investorem je Svazek. </w:t>
      </w:r>
    </w:p>
    <w:p w:rsidR="005629A6" w:rsidRDefault="005629A6" w:rsidP="005629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Případné vícepráce zaplatí obec.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– pro -  11, proti-0, zdržel se – 0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4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ZO Popůvky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smlouvu o finanční spoluúčasti – úhrada stavby povrchu na ul. Lesní, tak jak byla přednesena.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lastRenderedPageBreak/>
        <w:t xml:space="preserve">Bod </w:t>
      </w:r>
      <w:proofErr w:type="gramStart"/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č.7 –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Schválení</w:t>
      </w:r>
      <w:proofErr w:type="gramEnd"/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zařazení svého území do působnosti Místní akční skupiny Bobrava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seznámila zastupitele a přítomné občany s průběhem setkání ohledně založení Místní akční skupiny Bobrava. Setkání proběhlo v Moravanech. Místní akční skupina (MAS) je právnická osoba, založená na principech místního partnerství za účelem rozvoje venkovského regionu. Jde o společenství občanů, neziskových organizací, soukromé podnikatelské sféry a veřejné správy, které spolupracují na rozvoji venkova, zemědělství a při získávání finanční podpory z Evropské unie a z národních programů pro svůj region. MAS se podílí na realizaci programu obnovy a všestranného rozvoje venkova s cílem zlepšit kvalitu života na venkově prostřednictvím setrvalého a integrovaného místního rozvoje.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Obec Moravany, Nebovidy a Ostopovice spolu se 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třemi   neziskovkami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a třemi podnikateli založí Spolek MAS Bobrava, </w:t>
      </w:r>
      <w:proofErr w:type="spellStart"/>
      <w:r>
        <w:rPr>
          <w:rFonts w:ascii="Arial" w:eastAsia="Times New Roman" w:hAnsi="Arial" w:cs="Arial"/>
          <w:sz w:val="24"/>
          <w:szCs w:val="20"/>
          <w:lang w:eastAsia="cs-CZ"/>
        </w:rPr>
        <w:t>z.s</w:t>
      </w:r>
      <w:proofErr w:type="spell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., který zaregistrují a následně do něj přijmou  další členy.  Je proto nutné schválit zařazení svého území do působnosti této skupiny.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pro - 11, proti – 0, zdržel se – 0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5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>
        <w:rPr>
          <w:rFonts w:ascii="Arial" w:hAnsi="Arial" w:cs="Arial"/>
          <w:sz w:val="24"/>
          <w:szCs w:val="24"/>
        </w:rPr>
        <w:t>Zastupitelstvo obce Popůvky schvaluje zařazení svého území do územní</w:t>
      </w:r>
      <w:r>
        <w:rPr>
          <w:rFonts w:ascii="Arial" w:hAnsi="Arial" w:cs="Arial"/>
          <w:sz w:val="24"/>
          <w:szCs w:val="24"/>
        </w:rPr>
        <w:br/>
        <w:t xml:space="preserve">působnosti MAS </w:t>
      </w:r>
      <w:proofErr w:type="gramStart"/>
      <w:r>
        <w:rPr>
          <w:rFonts w:ascii="Arial" w:hAnsi="Arial" w:cs="Arial"/>
          <w:sz w:val="24"/>
          <w:szCs w:val="24"/>
        </w:rPr>
        <w:t xml:space="preserve">Bobrava, </w:t>
      </w:r>
      <w:proofErr w:type="spellStart"/>
      <w:r>
        <w:rPr>
          <w:rFonts w:ascii="Arial" w:hAnsi="Arial" w:cs="Arial"/>
          <w:sz w:val="24"/>
          <w:szCs w:val="24"/>
        </w:rPr>
        <w:t>z.s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na období 2014-2020."</w:t>
      </w:r>
    </w:p>
    <w:p w:rsidR="005629A6" w:rsidRDefault="005629A6" w:rsidP="005629A6">
      <w:pPr>
        <w:tabs>
          <w:tab w:val="left" w:pos="162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tabs>
          <w:tab w:val="left" w:pos="1620"/>
          <w:tab w:val="left" w:pos="45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8   -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Schválení členství obce ve spolku Místní akční skupina Bobrava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V předchozím bodě předsedající představila projekt MAS Bobrava, pokud se naše obec stane členem tohoto spolku, bude platit příspěvek cca 30,- Kč na jednoho obyvatele.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Hlasování  -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pro - 11, proti – 0, zdržel se – 0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6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„Zastupitelstvo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obce  Popůvky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schvaluje členství obce Popůvky ve spolku MAS Bobrava, 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z.s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cs-CZ"/>
        </w:rPr>
        <w:t>.“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9 –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Schválení smlouvy o právu provést stavbu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Předsedající přednesla návrh smlouvy o právu provést stavbu na cizím pozemku. Jedná se o stavbu přístupové konstrukce z par. č. 1630/2 – koryto vodního  toku  k pozemku par. č. 648/3 v 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Popůvky. Smlouvu vyžaduje stavební úřad.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pro - 11, proti – 0, zdržel se – 0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7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ZO Popůvky schvaluje smlouvu o právu provést stavbu na cizím pozemku, tak jak byla přednesena.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10 –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Schválení účetní závěrky obce za rok 2014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Zastupitelé jako schvalující orgán obce byli seznámeni s výsledkem hospodaření obce za rok 2014 a byli vyzváni k diskuzi a k případnému doplnění a vysvětlení jimi požadovaných údajů v předložené účetní závěrce obce za rok 2014. Potřebné výkazy jim byly zaslány před zasedáním zastupitelstva, aby se s nimi mohli seznámit. Účetní závěrku obce tvoří - výkazy rozvaha, výkaz zisků a ztráty a příloha sestavená za účetní jednotku ke dni 31. 12. 2014(k rozvahovému dni), Inventarizační zpráva </w:t>
      </w:r>
      <w:r>
        <w:rPr>
          <w:rFonts w:ascii="Arial" w:eastAsia="Times New Roman" w:hAnsi="Arial" w:cs="Arial"/>
          <w:sz w:val="24"/>
          <w:szCs w:val="24"/>
        </w:rPr>
        <w:lastRenderedPageBreak/>
        <w:t>HIK za rok 2014 a Zpráva o výsledku přezkoumání hospodaření obce za rok 2014.  Žádné dotazy nebyly zastupiteli vzneseny, zastupitelé si nevyžádali žádné další doklady. O schválení nebo neschválení účetní závěrky obce musí být sepsán Protokol o schválení účetní závěrky obce Popůvky za schvalované účetní období. Zastupitelé byli paní starostkou vyzváni, aby se k tomuto vyjádřili a hlasovali o schválení účetní závěrky obce za rok 2014.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pro - 11, proti – 0, zdržel se – 0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8 </w:t>
      </w:r>
    </w:p>
    <w:p w:rsidR="005629A6" w:rsidRDefault="005629A6" w:rsidP="005629A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ZO Popůvky jako schvalující orgán obce </w:t>
      </w:r>
      <w:r>
        <w:rPr>
          <w:rFonts w:ascii="Arial" w:hAnsi="Arial" w:cs="Arial"/>
          <w:b/>
          <w:sz w:val="24"/>
          <w:szCs w:val="24"/>
          <w:u w:val="single"/>
          <w:lang w:eastAsia="cs-CZ"/>
        </w:rPr>
        <w:t xml:space="preserve">schvaluje </w:t>
      </w:r>
      <w:r>
        <w:rPr>
          <w:rFonts w:ascii="Arial" w:hAnsi="Arial" w:cs="Arial"/>
          <w:sz w:val="24"/>
          <w:szCs w:val="24"/>
          <w:lang w:eastAsia="cs-CZ"/>
        </w:rPr>
        <w:t>účetní závěrku obce Popůvky za rok 2014. Zastupitelstvo obce Popůvky nezjistilo, že by účetní závěrka neposkytla v rozsahu předložených podkladů v souladu s § 4 vyhlášky č. 220/2013 věrný a poctivý obraz předmětu účetnictví a finanční situace účetní jednotky.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11 –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Rozpočtové opatření č. 4/2015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FV ve spolupráci s panem účetním </w:t>
      </w:r>
      <w:proofErr w:type="spellStart"/>
      <w:r>
        <w:rPr>
          <w:rFonts w:ascii="Arial" w:eastAsia="Times New Roman" w:hAnsi="Arial" w:cs="Arial"/>
          <w:sz w:val="24"/>
          <w:szCs w:val="24"/>
        </w:rPr>
        <w:t>Siwkem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předložil zastupitelstvu k projednání návrh rozpočtového opaření č. 4/2015. Důvodová zpráva je připojena.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629A6" w:rsidRDefault="005629A6" w:rsidP="005629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Rozpočtové opatření č. 4/2015 , které obsahuje rozpočtové změny:</w:t>
      </w:r>
    </w:p>
    <w:tbl>
      <w:tblPr>
        <w:tblW w:w="10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036"/>
        <w:gridCol w:w="1029"/>
        <w:gridCol w:w="981"/>
        <w:gridCol w:w="1843"/>
        <w:gridCol w:w="1874"/>
      </w:tblGrid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Popis závazného rozpočtového ukazatele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Příjmy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rozpočtu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před</w:t>
            </w:r>
            <w:proofErr w:type="gramEnd"/>
          </w:p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rozpočtovou změnou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rozpočtu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provedené změně</w:t>
            </w: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Financování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Pol. 8115- zapojení přebytku minulých let (posílení výdajů na § místních komunikací a revitalizace koryta potoka na Návsi)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+2 300 000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2 300 000</w:t>
            </w: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celkem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2 300 000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Výdaje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Výdaje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rozpočtu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před</w:t>
            </w:r>
            <w:proofErr w:type="gramEnd"/>
          </w:p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rozpočtovou změnou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rozpočtu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provedené změně</w:t>
            </w: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§ 2212- místní komunikace (zapojení pol. 5901- rozpočtová rezerva))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+ 1 539 200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590 100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2 129 300</w:t>
            </w: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§ 2333- úpravy drobných vodních toků (revitalizace koryta potoka na Návsi-zapojení § do upraveného rozpočtu s pol. 6121- stavby)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+135 200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135 200</w:t>
            </w: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§ 3635- územní plánování (zpracování nového územního plánu obce)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+625 600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32 200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657 800</w:t>
            </w:r>
          </w:p>
        </w:tc>
      </w:tr>
      <w:tr w:rsidR="005629A6" w:rsidTr="005629A6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celkem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2 300 000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6" w:rsidRDefault="005629A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629A6" w:rsidRDefault="005629A6" w:rsidP="0056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Příjmy - daňové + nedaňové + kapitálové + dotace………………     13 674 600,-- Kč</w:t>
      </w:r>
    </w:p>
    <w:p w:rsidR="005629A6" w:rsidRDefault="005629A6" w:rsidP="005629A6">
      <w:pPr>
        <w:spacing w:after="0" w:line="240" w:lineRule="auto"/>
        <w:ind w:left="18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Financování (pol. 8115 - přebytek hospodaření z min. </w:t>
      </w:r>
      <w:proofErr w:type="gramStart"/>
      <w:r>
        <w:rPr>
          <w:rFonts w:ascii="Arial" w:hAnsi="Arial" w:cs="Arial"/>
          <w:sz w:val="24"/>
          <w:szCs w:val="24"/>
        </w:rPr>
        <w:t>let).......…</w:t>
      </w:r>
      <w:proofErr w:type="gramEnd"/>
      <w:r>
        <w:rPr>
          <w:rFonts w:ascii="Arial" w:hAnsi="Arial" w:cs="Arial"/>
          <w:sz w:val="24"/>
          <w:szCs w:val="24"/>
        </w:rPr>
        <w:t xml:space="preserve">……. 2 300 000,-- Kč </w:t>
      </w:r>
    </w:p>
    <w:p w:rsidR="005629A6" w:rsidRDefault="005629A6" w:rsidP="005629A6">
      <w:pPr>
        <w:spacing w:after="0" w:line="240" w:lineRule="auto"/>
        <w:ind w:left="18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Financování (</w:t>
      </w:r>
      <w:proofErr w:type="gramStart"/>
      <w:r>
        <w:rPr>
          <w:rFonts w:ascii="Arial" w:hAnsi="Arial" w:cs="Arial"/>
          <w:sz w:val="24"/>
          <w:szCs w:val="24"/>
        </w:rPr>
        <w:t>pol.8123</w:t>
      </w:r>
      <w:proofErr w:type="gramEnd"/>
      <w:r>
        <w:rPr>
          <w:rFonts w:ascii="Arial" w:hAnsi="Arial" w:cs="Arial"/>
          <w:sz w:val="24"/>
          <w:szCs w:val="24"/>
        </w:rPr>
        <w:t xml:space="preserve">) – dlouhodobý úvěr (na kanalizaci) ………… 13 000 000,-- Kč </w:t>
      </w:r>
    </w:p>
    <w:p w:rsidR="005629A6" w:rsidRDefault="005629A6" w:rsidP="005629A6">
      <w:pPr>
        <w:spacing w:after="0" w:line="240" w:lineRule="auto"/>
        <w:ind w:left="180" w:hanging="1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Příjmy celkem…………………………………………………………       </w:t>
      </w:r>
      <w:r>
        <w:rPr>
          <w:rFonts w:ascii="Arial" w:hAnsi="Arial" w:cs="Arial"/>
          <w:b/>
          <w:sz w:val="24"/>
          <w:szCs w:val="24"/>
        </w:rPr>
        <w:t>28 974 600,-- Kč</w:t>
      </w:r>
    </w:p>
    <w:p w:rsidR="005629A6" w:rsidRDefault="005629A6" w:rsidP="005629A6">
      <w:pPr>
        <w:spacing w:after="0" w:line="240" w:lineRule="auto"/>
        <w:ind w:left="180" w:hanging="180"/>
        <w:jc w:val="both"/>
        <w:rPr>
          <w:rFonts w:ascii="Arial" w:hAnsi="Arial" w:cs="Arial"/>
          <w:b/>
          <w:sz w:val="24"/>
          <w:szCs w:val="24"/>
        </w:rPr>
      </w:pPr>
    </w:p>
    <w:p w:rsidR="005629A6" w:rsidRDefault="005629A6" w:rsidP="005629A6">
      <w:pPr>
        <w:spacing w:after="0" w:line="240" w:lineRule="auto"/>
        <w:ind w:left="18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Výdaje - běžné + kapitálové ………………………………………….    27 364 600,-- Kč</w:t>
      </w:r>
    </w:p>
    <w:p w:rsidR="005629A6" w:rsidRDefault="005629A6" w:rsidP="005629A6">
      <w:pPr>
        <w:spacing w:after="0" w:line="240" w:lineRule="auto"/>
        <w:ind w:left="18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Financování –</w:t>
      </w:r>
      <w:proofErr w:type="gramStart"/>
      <w:r>
        <w:rPr>
          <w:rFonts w:ascii="Arial" w:hAnsi="Arial" w:cs="Arial"/>
          <w:sz w:val="24"/>
          <w:szCs w:val="24"/>
        </w:rPr>
        <w:t>pol.8124</w:t>
      </w:r>
      <w:proofErr w:type="gramEnd"/>
      <w:r>
        <w:rPr>
          <w:rFonts w:ascii="Arial" w:hAnsi="Arial" w:cs="Arial"/>
          <w:sz w:val="24"/>
          <w:szCs w:val="24"/>
        </w:rPr>
        <w:t xml:space="preserve">-splátka úvěru    ……………………………..     1 610 000,-- Kč </w:t>
      </w:r>
    </w:p>
    <w:p w:rsidR="005629A6" w:rsidRDefault="005629A6" w:rsidP="005629A6">
      <w:pPr>
        <w:spacing w:after="0" w:line="240" w:lineRule="auto"/>
        <w:ind w:left="180" w:hanging="1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Výdaje celkem…………………………………………………………     </w:t>
      </w:r>
      <w:r>
        <w:rPr>
          <w:rFonts w:ascii="Arial" w:hAnsi="Arial" w:cs="Arial"/>
          <w:b/>
          <w:sz w:val="24"/>
          <w:szCs w:val="24"/>
        </w:rPr>
        <w:t>28 974 600,-- Kč</w:t>
      </w:r>
    </w:p>
    <w:p w:rsidR="005629A6" w:rsidRDefault="005629A6" w:rsidP="005629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Rozpočet je po provedení </w:t>
      </w:r>
      <w:proofErr w:type="spellStart"/>
      <w:r>
        <w:rPr>
          <w:rFonts w:ascii="Arial" w:hAnsi="Arial" w:cs="Arial"/>
          <w:sz w:val="24"/>
          <w:szCs w:val="24"/>
        </w:rPr>
        <w:t>rozp</w:t>
      </w:r>
      <w:proofErr w:type="spellEnd"/>
      <w:r>
        <w:rPr>
          <w:rFonts w:ascii="Arial" w:hAnsi="Arial" w:cs="Arial"/>
          <w:sz w:val="24"/>
          <w:szCs w:val="24"/>
        </w:rPr>
        <w:t xml:space="preserve">. opatření č.4/2015 nevyrovnaný (schodkový/ příjmy + financování = výdaje + financování). </w:t>
      </w:r>
    </w:p>
    <w:p w:rsidR="005629A6" w:rsidRDefault="005629A6" w:rsidP="0056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Důvodová zpráva k rozpočtovému opatření č. 4/2015</w:t>
      </w:r>
    </w:p>
    <w:p w:rsidR="005629A6" w:rsidRDefault="005629A6" w:rsidP="0056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souladu s ustanovením § 16 zákona č. 250/2000 Sb., o rozpočtových pravidlech územních rozpočtů dojde k rozpočtovému opatření v případě změn rozpočtových prostředků na závazných ukazatelích rozpočtu (např. změna objemu nebo přesuny mezi ukazateli). </w:t>
      </w:r>
    </w:p>
    <w:p w:rsidR="005629A6" w:rsidRDefault="005629A6" w:rsidP="0056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Tímto rozpočtovým opatřením byly navýšeny celkové příjmy upraveného rozpočtu a výdaje (nastala změna objemu celkových </w:t>
      </w:r>
      <w:proofErr w:type="spellStart"/>
      <w:r>
        <w:rPr>
          <w:rFonts w:ascii="Arial" w:hAnsi="Arial" w:cs="Arial"/>
          <w:sz w:val="24"/>
          <w:szCs w:val="24"/>
        </w:rPr>
        <w:t>narozpočtovaných</w:t>
      </w:r>
      <w:proofErr w:type="spellEnd"/>
      <w:r>
        <w:rPr>
          <w:rFonts w:ascii="Arial" w:hAnsi="Arial" w:cs="Arial"/>
          <w:sz w:val="24"/>
          <w:szCs w:val="24"/>
        </w:rPr>
        <w:t xml:space="preserve"> prostředků v upraveném rozpočtu). Rozpočtovým opatřením č. 4/2015 byl zapojen ve výdajích nově § 2333 -úpravy drobných vodních toků. Obec započala s přípravou revitalizace potoka na Návsi. Dále jsme posílili § 3635- územní plánování na konečnou částku za celý nový územní plán obce, který by měl být v letošním roce celý zaplacen. Pro krytí těchto výdajů jsme využili zapojení pol. 8115-financování, kterou si do příjmů zapojíme ušetřené prostředky na našich BÚ z roku </w:t>
      </w:r>
      <w:proofErr w:type="gramStart"/>
      <w:r>
        <w:rPr>
          <w:rFonts w:ascii="Arial" w:hAnsi="Arial" w:cs="Arial"/>
          <w:sz w:val="24"/>
          <w:szCs w:val="24"/>
        </w:rPr>
        <w:t>2014.Vzhledem</w:t>
      </w:r>
      <w:proofErr w:type="gramEnd"/>
      <w:r>
        <w:rPr>
          <w:rFonts w:ascii="Arial" w:hAnsi="Arial" w:cs="Arial"/>
          <w:sz w:val="24"/>
          <w:szCs w:val="24"/>
        </w:rPr>
        <w:t xml:space="preserve"> k tomu, že se započalo s opravou povrchu místní komunikace na ulici Lesní (po dokončení vodovodu a splaškové kanalizace), byl posílen § 2212- místní komunikace.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pro - 11, proti – 0, zdržel se – 0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9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ZO Popůvky </w:t>
      </w: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 xml:space="preserve">schvaluje 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rozpočtové opatření č. 4/2015, kterým se navýší celkové příjmy i výdaje upraveného rozpočtu na částku 28,974.600,-- Kč.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Bod č.  12 -Schválení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</w:rPr>
        <w:t>příspěvku  TJ</w:t>
      </w:r>
      <w:proofErr w:type="gramEnd"/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SOKOL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Nezisková organizace TJ SOKOL Popůvky si požádala o individuální dotaci z rozpočtu obce na provoz ve výši 70.000,-- Kč na rok 2015. Organizace předložila svou žádost podle zákona č. 250/2000 </w:t>
      </w:r>
      <w:proofErr w:type="spellStart"/>
      <w:r>
        <w:rPr>
          <w:rFonts w:ascii="Arial" w:eastAsia="Times New Roman" w:hAnsi="Arial" w:cs="Arial"/>
          <w:sz w:val="24"/>
          <w:szCs w:val="24"/>
        </w:rPr>
        <w:t>Sb</w:t>
      </w:r>
      <w:proofErr w:type="spellEnd"/>
      <w:r>
        <w:rPr>
          <w:rFonts w:ascii="Arial" w:eastAsia="Times New Roman" w:hAnsi="Arial" w:cs="Arial"/>
          <w:sz w:val="24"/>
          <w:szCs w:val="24"/>
        </w:rPr>
        <w:t>, ve znění pozdějších novel.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outlineLvl w:val="4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pro - 11, proti – 0, zdržel se – 0 </w:t>
      </w:r>
    </w:p>
    <w:p w:rsidR="005629A6" w:rsidRDefault="005629A6" w:rsidP="005629A6">
      <w:pPr>
        <w:spacing w:after="0" w:line="240" w:lineRule="auto"/>
        <w:jc w:val="both"/>
        <w:outlineLvl w:val="4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10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ZO Popůvky </w:t>
      </w: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schvaluje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individuální dotaci na účel požadovaný žadatelem v žádosti, a to na zajištění běžného provozu neziskové organizace TJ SOKOL Popůvky, ve výši 70.000,-- Kč na rok 2015.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10a)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ZO Popůvky </w:t>
      </w: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 xml:space="preserve">schvaluje 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dále v souvislosti s výše schválenou individuální dotací neziskové organizaci TJ SOKOL Popůvky veřejnoprávní smlouvu na poskytnutou dotaci, ve které jsou stanoveny povinnosti příjemce dotace, způsob finančního vypořádání dotace, včetně termínu, kterým k vypořádání dojde. Smlouva o poskytnutí dotace je v souladu se zákonem č. 250/2000 Sb., ve znění pozdějších novel.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13-  vložený bod – Dodatek č. 10 ke smlouvě o vkladu majetku do hospodaření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Vzhledem k tomu, že se posunul termín předání vkladu majetku do hospodaření Svazku, tak je třeba schválit nový dodatek s novými daty. Dodatek č. 9 se tímto nahradí.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Ing. Doc. Libor 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Pantělejev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Ph.D. – bylo by dobré dopsat do dodatku, že v plné míře nahrazuje dodatek č. 9 a ten se tímto dodatkem ruší.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Hlasování  -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pro - 11, proti – 0, zdržel se – 0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11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ZO Popůvky schvaluje Dodatek č. 10 ke smlouvě o vkladu majetku do hospodaření  s tím, že do smlouvy bude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dopsáno že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v plné míře nahrazuje dodatek č. 9 a ten se tímto dodatkem ruší.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14 – Informace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pStyle w:val="Odstavecseseznamem"/>
        <w:keepNext/>
        <w:numPr>
          <w:ilvl w:val="0"/>
          <w:numId w:val="2"/>
        </w:numPr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kanalizace – dnes byla koordinační porada. Od pondělí 23. 3.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2015  bude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celková uzávěra ulic Chaloupky, Náves. Částečně bude uzavřena ulice Školní. Autobusová zastávka na návsi bude přeložena na ulici Novou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ke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hřišti. </w:t>
      </w:r>
    </w:p>
    <w:p w:rsidR="005629A6" w:rsidRDefault="005629A6" w:rsidP="005629A6">
      <w:pPr>
        <w:pStyle w:val="Odstavecseseznamem"/>
        <w:keepNext/>
        <w:numPr>
          <w:ilvl w:val="0"/>
          <w:numId w:val="2"/>
        </w:numPr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na ulici Pod Vinohrady pouze ve spodní části se bude dělat nový asfaltový povrch. </w:t>
      </w:r>
    </w:p>
    <w:p w:rsidR="005629A6" w:rsidRDefault="005629A6" w:rsidP="005629A6">
      <w:pPr>
        <w:pStyle w:val="Odstavecseseznamem"/>
        <w:keepNext/>
        <w:numPr>
          <w:ilvl w:val="0"/>
          <w:numId w:val="2"/>
        </w:numPr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Občané se mohou připojovat na kanalizaci ale nikoli přepojovat. Přepojovat se mohou až po kolaudaci.</w:t>
      </w:r>
    </w:p>
    <w:p w:rsidR="005629A6" w:rsidRDefault="005629A6" w:rsidP="005629A6">
      <w:pPr>
        <w:pStyle w:val="Odstavecseseznamem"/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Ing. J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P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– občané by se neměli připojovat. 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Odpověď: připojovat ano, přepojit nikoli </w:t>
      </w:r>
    </w:p>
    <w:p w:rsidR="005629A6" w:rsidRDefault="005629A6" w:rsidP="005629A6">
      <w:pPr>
        <w:pStyle w:val="Odstavecseseznamem"/>
        <w:keepNext/>
        <w:numPr>
          <w:ilvl w:val="0"/>
          <w:numId w:val="5"/>
        </w:numPr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Omice se budou napojovat na náš vodovod </w:t>
      </w:r>
    </w:p>
    <w:p w:rsidR="005629A6" w:rsidRDefault="005629A6" w:rsidP="005629A6">
      <w:pPr>
        <w:pStyle w:val="Odstavecseseznamem"/>
        <w:keepNext/>
        <w:numPr>
          <w:ilvl w:val="0"/>
          <w:numId w:val="5"/>
        </w:numPr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Byl předložen zápis z kontrolního výboru </w:t>
      </w:r>
    </w:p>
    <w:p w:rsidR="005629A6" w:rsidRDefault="005629A6" w:rsidP="005629A6">
      <w:pPr>
        <w:pStyle w:val="Odstavecseseznamem"/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pStyle w:val="Odstavecseseznamem"/>
        <w:keepNext/>
        <w:numPr>
          <w:ilvl w:val="0"/>
          <w:numId w:val="5"/>
        </w:numPr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FV informoval zastupitele o své činnosti za uplynulé období (celá Zpráva FV je uložena na obecním úřadě).</w:t>
      </w:r>
    </w:p>
    <w:p w:rsidR="005629A6" w:rsidRDefault="005629A6" w:rsidP="005629A6">
      <w:pPr>
        <w:pStyle w:val="Odstavecseseznamem"/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Dále jsme je seznámili s výsledkem inventarizace majetku, závazků a pohledávek obce k 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31.12.2014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>. Následující informace jsou vyjmuty ze Zprávy HIK:</w:t>
      </w: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1.5.1 Informace o zjištěních v průběhu inventarizace dle inventurních soupisů – návrhy na vyřazení majetku: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základě provedených dílčích inventur nebyl navržen žádný majetek k vyřazení.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1.5.2. Informace o zjištěních v průběhu inventarizace dle inventurních soupisů – návrhy na změnu umístění majetku:</w:t>
      </w:r>
    </w:p>
    <w:p w:rsidR="005629A6" w:rsidRDefault="005629A6" w:rsidP="005629A6">
      <w:pPr>
        <w:pStyle w:val="Bezmezer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žádné změny na umístění z inventury nevyplynuly</w:t>
      </w: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1.5.3. Informace o inventarizačních rozdílech a zúčtovatelných rozdílech: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nebyly zjištěny žádné inventarizační rozdíly (přebytek a manko) a žádný zúčtovatelný rozdíl</w:t>
      </w: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  přílohy č. 1 „</w:t>
      </w:r>
      <w:r>
        <w:rPr>
          <w:rFonts w:ascii="Arial" w:hAnsi="Arial" w:cs="Arial"/>
          <w:b/>
          <w:sz w:val="24"/>
          <w:szCs w:val="24"/>
        </w:rPr>
        <w:t>Seznam inventurních soupisů uvedených v sumářích jednotlivých IK</w:t>
      </w:r>
      <w:r>
        <w:rPr>
          <w:rFonts w:ascii="Arial" w:hAnsi="Arial" w:cs="Arial"/>
          <w:sz w:val="24"/>
          <w:szCs w:val="24"/>
        </w:rPr>
        <w:t xml:space="preserve">“ vyplývají jednotlivá zjištění IK. </w:t>
      </w: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inventarizační rozdíly jsou uvedeny v inventurních soupisech jednotlivých IK.</w:t>
      </w: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Hlavní inventarizační komise stanovuje tento postup pro nevypořádané rozdíly</w:t>
      </w:r>
      <w:r>
        <w:rPr>
          <w:rFonts w:ascii="Arial" w:hAnsi="Arial" w:cs="Arial"/>
          <w:sz w:val="24"/>
          <w:szCs w:val="24"/>
        </w:rPr>
        <w:t xml:space="preserve">: </w:t>
      </w: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žádné nevypořádané inventarizační schodky nebyly zjištěny. </w:t>
      </w: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Zjištěné inventarizační rozdíly:</w:t>
      </w: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žádný zúčtovatelný inventarizační rozdíl mezi stavem uvedeným na </w:t>
      </w:r>
      <w:proofErr w:type="spellStart"/>
      <w:r>
        <w:rPr>
          <w:rFonts w:ascii="Arial" w:hAnsi="Arial" w:cs="Arial"/>
          <w:sz w:val="24"/>
          <w:szCs w:val="24"/>
        </w:rPr>
        <w:t>inv</w:t>
      </w:r>
      <w:proofErr w:type="spellEnd"/>
      <w:r>
        <w:rPr>
          <w:rFonts w:ascii="Arial" w:hAnsi="Arial" w:cs="Arial"/>
          <w:sz w:val="24"/>
          <w:szCs w:val="24"/>
        </w:rPr>
        <w:t xml:space="preserve">. soupisu a skutečným stavem nebyl zjištěn </w:t>
      </w: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29A6" w:rsidRDefault="005629A6" w:rsidP="005629A6">
      <w:pPr>
        <w:pStyle w:val="Odstavecseseznamem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Závěr: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IK č. V. zjistila, že nejsou zaplaceny některé pohledávky z roku 2011 a to tyto:</w:t>
      </w:r>
    </w:p>
    <w:p w:rsidR="005629A6" w:rsidRDefault="005629A6" w:rsidP="005629A6">
      <w:pPr>
        <w:pStyle w:val="Odstavecseseznamem"/>
        <w:tabs>
          <w:tab w:val="left" w:pos="6521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-účet 315.0020 pohledávka za psy z roku 2011                                  </w:t>
      </w:r>
      <w:r>
        <w:rPr>
          <w:rFonts w:ascii="Arial" w:hAnsi="Arial" w:cs="Arial"/>
          <w:bCs/>
          <w:sz w:val="24"/>
          <w:szCs w:val="24"/>
        </w:rPr>
        <w:tab/>
        <w:t>1.900,-- Kč</w:t>
      </w:r>
    </w:p>
    <w:p w:rsidR="005629A6" w:rsidRDefault="005629A6" w:rsidP="005629A6">
      <w:pPr>
        <w:pStyle w:val="Odstavecseseznamem"/>
        <w:tabs>
          <w:tab w:val="left" w:pos="6521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účet 315.0050 svoz domovního odpadu (trvale bydlící) rok 2011</w:t>
      </w:r>
      <w:r>
        <w:rPr>
          <w:rFonts w:ascii="Arial" w:hAnsi="Arial" w:cs="Arial"/>
          <w:bCs/>
          <w:sz w:val="24"/>
          <w:szCs w:val="24"/>
        </w:rPr>
        <w:tab/>
        <w:t xml:space="preserve">              500,-- Kč</w:t>
      </w:r>
    </w:p>
    <w:p w:rsidR="005629A6" w:rsidRDefault="005629A6" w:rsidP="005629A6">
      <w:pPr>
        <w:tabs>
          <w:tab w:val="left" w:pos="6521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účet 315.0051 svoz domovního odpadu (chaty) rok 2011</w:t>
      </w:r>
      <w:r>
        <w:rPr>
          <w:rFonts w:ascii="Arial" w:hAnsi="Arial" w:cs="Arial"/>
          <w:bCs/>
          <w:sz w:val="24"/>
          <w:szCs w:val="24"/>
        </w:rPr>
        <w:tab/>
        <w:t xml:space="preserve">                    2.500,-- Kč</w:t>
      </w:r>
    </w:p>
    <w:p w:rsidR="005629A6" w:rsidRDefault="005629A6" w:rsidP="005629A6">
      <w:pPr>
        <w:tabs>
          <w:tab w:val="left" w:pos="6521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účet 378.0105 mylná platba z roku 2004 </w:t>
      </w:r>
      <w:r>
        <w:rPr>
          <w:rFonts w:ascii="Arial" w:hAnsi="Arial" w:cs="Arial"/>
          <w:bCs/>
          <w:sz w:val="24"/>
          <w:szCs w:val="24"/>
        </w:rPr>
        <w:tab/>
        <w:t xml:space="preserve">                        300,--Kč</w:t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</w:p>
    <w:p w:rsidR="005629A6" w:rsidRDefault="005629A6" w:rsidP="005629A6">
      <w:pPr>
        <w:tabs>
          <w:tab w:val="left" w:pos="6521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(nepodařilo se zjistit, kdo nám tuto platbu na BÚ zaslal)</w:t>
      </w:r>
    </w:p>
    <w:p w:rsidR="005629A6" w:rsidRDefault="005629A6" w:rsidP="005629A6">
      <w:pPr>
        <w:tabs>
          <w:tab w:val="left" w:pos="6521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5629A6" w:rsidRDefault="005629A6" w:rsidP="005629A6">
      <w:pPr>
        <w:tabs>
          <w:tab w:val="left" w:pos="6521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účet 311.0305 projekty na domovní kanalizační přípojky, které si občané odmítli vyzvednout. </w:t>
      </w:r>
    </w:p>
    <w:p w:rsidR="005629A6" w:rsidRDefault="005629A6" w:rsidP="005629A6">
      <w:pPr>
        <w:tabs>
          <w:tab w:val="left" w:pos="6521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5629A6" w:rsidRDefault="005629A6" w:rsidP="005629A6">
      <w:pPr>
        <w:tabs>
          <w:tab w:val="left" w:pos="6521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HIK pověřuje tímto radu obce, aby prověřila možnost úhrady těchto starých pohledávek a v případě, že budou nevymahatelné, rozhodla o jejich odpisu. </w:t>
      </w:r>
    </w:p>
    <w:p w:rsidR="005629A6" w:rsidRDefault="005629A6" w:rsidP="005629A6">
      <w:pPr>
        <w:tabs>
          <w:tab w:val="left" w:pos="6521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Rada obce na svém zasedání dne </w:t>
      </w:r>
      <w:proofErr w:type="gramStart"/>
      <w:r>
        <w:rPr>
          <w:rFonts w:ascii="Arial" w:hAnsi="Arial" w:cs="Arial"/>
          <w:bCs/>
          <w:sz w:val="24"/>
          <w:szCs w:val="24"/>
        </w:rPr>
        <w:t>18.2.2015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usnesením č. 8 schválila vyřazení nedobytných pohledávek z účetnictví obce bez toho, aby byly tyto dále vedeny v podrozvaze.  Usnesením č. 9 potom schválila odúčtování mylné platby (závazku) z roku 2004 do výnosů.</w:t>
      </w:r>
    </w:p>
    <w:p w:rsidR="005629A6" w:rsidRDefault="005629A6" w:rsidP="005629A6">
      <w:pPr>
        <w:pStyle w:val="Odstavecseseznamem"/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ve dnech 28. a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cs-CZ"/>
        </w:rPr>
        <w:t>29.1.2015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proběhl na obci přezkum hospodaření obce za rok 2014. Ve zprávě z přezkumu je uvedeno, že nebylo zjištěno žádné porušení rozpočtové kázně a obci nebyla nařízena žádná opravná opatření.</w:t>
      </w:r>
    </w:p>
    <w:p w:rsidR="005629A6" w:rsidRDefault="005629A6" w:rsidP="005629A6">
      <w:pPr>
        <w:pStyle w:val="Odstavecseseznamem"/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FV také k 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cs-CZ"/>
        </w:rPr>
        <w:t>15.2.2015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předal na MV ČR Zkrácenou zprávu o poskytnutých dotací z rozpočtu obce v roce 2014. Ve zprávě se uvádějí všichni žadatelé včetně vlastních příspěvkových organizací zřízených obcí. Dále je zde informace o provedených kontrolách ze strany obce, která kontroluje správnost použití poskytnutých dotací z rozpočtu obce na určený účel dle smlouvy, které se s jednotlivými žadateli (kromě vlastních příspěvkových organizací) sepisují.</w:t>
      </w:r>
    </w:p>
    <w:p w:rsidR="005629A6" w:rsidRDefault="005629A6" w:rsidP="005629A6">
      <w:pPr>
        <w:pStyle w:val="Odstavecseseznamem"/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5629A6" w:rsidRDefault="005629A6" w:rsidP="005629A6">
      <w:pPr>
        <w:pStyle w:val="Odstavecseseznamem"/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 </w:t>
      </w:r>
    </w:p>
    <w:p w:rsidR="005629A6" w:rsidRDefault="005629A6" w:rsidP="005629A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</w:t>
      </w:r>
      <w:proofErr w:type="gramStart"/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č.15</w:t>
      </w:r>
      <w:proofErr w:type="gramEnd"/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– Diskuse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:rsidR="005629A6" w:rsidRDefault="005629A6" w:rsidP="005629A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lastRenderedPageBreak/>
        <w:t>Ing.  J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R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– u mostku EUROVIA odbagrovala kus cesty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          Odpověď: bylo to na náš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popud , pan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Vaňura chtěl kus cesty oddělat 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Jak se bude jezdit na ulici Pod Vinohrady a do chat když se bude frézovat silnice od 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Vintrovny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?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Odpověď: přes Veselku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Kontroluje někdo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hutnění ? Řekl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bych že ne. Vždycky když vytáhnu foťák, tak s hutněním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začnou .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Odpověď: pan Koch je tam každý den </w:t>
      </w:r>
    </w:p>
    <w:p w:rsidR="005629A6" w:rsidRDefault="005629A6" w:rsidP="005629A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Ing. J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P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 - obec by si měla přebírat jednotlivé vrstvy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komunikací .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Na ulici Školní sedl chodník i komunikace- vůbec tam není hutněno. </w:t>
      </w:r>
    </w:p>
    <w:p w:rsidR="005629A6" w:rsidRDefault="005629A6" w:rsidP="005629A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Na ulici Nová zůstaly dutiny v asfaltu, bylo dobré toto připomínkovat 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Paní  J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– bydlím trvale v chatové oblasti. Nešly by odpady svážet v chatové oblasti častěji? 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Odpověď: Navýšil by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se  poplatek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všem poplatníkům.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Nešel by dát např. k rybníku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kontejner ?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 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Odpověď: bohužel nešel, občané do kontejneru hází vše a svozová firma nám toto nesveze. Obec potom platí i za svoz nekomunálního odpadu. 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5629A6" w:rsidRDefault="005629A6" w:rsidP="005629A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ukončila zasedání v 19.00 hodin a rozloučila se zastupiteli </w:t>
      </w:r>
    </w:p>
    <w:p w:rsidR="005629A6" w:rsidRDefault="005629A6" w:rsidP="005629A6">
      <w:pPr>
        <w:tabs>
          <w:tab w:val="left" w:pos="1620"/>
          <w:tab w:val="left" w:pos="450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Zapsala Radka Sojková…………………….                    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0"/>
          <w:u w:val="single"/>
          <w:lang w:eastAsia="cs-CZ"/>
        </w:rPr>
        <w:t>ověřovatelé zápisu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u w:val="single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starostka…………………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…..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                              Zdeňka </w:t>
      </w:r>
      <w:proofErr w:type="spellStart"/>
      <w:r>
        <w:rPr>
          <w:rFonts w:ascii="Arial" w:eastAsia="Times New Roman" w:hAnsi="Arial" w:cs="Arial"/>
          <w:sz w:val="24"/>
          <w:szCs w:val="20"/>
          <w:lang w:eastAsia="cs-CZ"/>
        </w:rPr>
        <w:t>Debefová</w:t>
      </w:r>
      <w:proofErr w:type="spell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  ………………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Miluše Červená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místostarosta ........................                              Michal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Pazourek  ...........................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Mgr. Arnošt Bár</w:t>
      </w: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629A6" w:rsidRDefault="005629A6" w:rsidP="005629A6">
      <w:pPr>
        <w:jc w:val="both"/>
      </w:pPr>
    </w:p>
    <w:p w:rsidR="005629A6" w:rsidRDefault="005629A6" w:rsidP="005629A6">
      <w:pPr>
        <w:jc w:val="both"/>
      </w:pPr>
    </w:p>
    <w:p w:rsidR="005629A6" w:rsidRDefault="005629A6" w:rsidP="005629A6"/>
    <w:p w:rsidR="005629A6" w:rsidRDefault="005629A6" w:rsidP="005629A6"/>
    <w:p w:rsidR="005C50F7" w:rsidRDefault="005C50F7"/>
    <w:sectPr w:rsidR="005C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C3E2E"/>
    <w:multiLevelType w:val="hybridMultilevel"/>
    <w:tmpl w:val="E5F21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C4864"/>
    <w:multiLevelType w:val="hybridMultilevel"/>
    <w:tmpl w:val="028292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A0F0ED9"/>
    <w:multiLevelType w:val="hybridMultilevel"/>
    <w:tmpl w:val="BDE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F0F23DA"/>
    <w:multiLevelType w:val="hybridMultilevel"/>
    <w:tmpl w:val="62221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A6"/>
    <w:rsid w:val="005629A6"/>
    <w:rsid w:val="005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9A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562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29A6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5629A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629A6"/>
    <w:pPr>
      <w:ind w:left="720"/>
      <w:contextualSpacing/>
    </w:pPr>
  </w:style>
  <w:style w:type="paragraph" w:customStyle="1" w:styleId="Oddstavcevlncch">
    <w:name w:val="Oddstavce v článcích"/>
    <w:basedOn w:val="Normln"/>
    <w:next w:val="Normln"/>
    <w:rsid w:val="005629A6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9A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562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29A6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5629A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629A6"/>
    <w:pPr>
      <w:ind w:left="720"/>
      <w:contextualSpacing/>
    </w:pPr>
  </w:style>
  <w:style w:type="paragraph" w:customStyle="1" w:styleId="Oddstavcevlncch">
    <w:name w:val="Oddstavce v článcích"/>
    <w:basedOn w:val="Normln"/>
    <w:next w:val="Normln"/>
    <w:rsid w:val="005629A6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2438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Popuvky</dc:creator>
  <cp:lastModifiedBy>Knihovna Popuvky</cp:lastModifiedBy>
  <cp:revision>1</cp:revision>
  <dcterms:created xsi:type="dcterms:W3CDTF">2015-04-01T14:53:00Z</dcterms:created>
  <dcterms:modified xsi:type="dcterms:W3CDTF">2015-04-01T14:55:00Z</dcterms:modified>
</cp:coreProperties>
</file>