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E3" w:rsidRPr="00533BA6" w:rsidRDefault="004855E3" w:rsidP="004855E3">
      <w:pPr>
        <w:jc w:val="center"/>
        <w:rPr>
          <w:rFonts w:eastAsia="Batang"/>
          <w:b/>
          <w:u w:val="single"/>
        </w:rPr>
      </w:pPr>
      <w:r w:rsidRPr="00533BA6">
        <w:rPr>
          <w:rFonts w:eastAsia="Batang"/>
          <w:b/>
          <w:u w:val="single"/>
        </w:rPr>
        <w:t xml:space="preserve">Zpráva o činnosti </w:t>
      </w:r>
      <w:proofErr w:type="spellStart"/>
      <w:r w:rsidRPr="00533BA6">
        <w:rPr>
          <w:rFonts w:eastAsia="Batang"/>
          <w:b/>
          <w:u w:val="single"/>
        </w:rPr>
        <w:t>FV</w:t>
      </w:r>
      <w:proofErr w:type="spellEnd"/>
      <w:r w:rsidRPr="00533BA6">
        <w:rPr>
          <w:rFonts w:eastAsia="Batang"/>
          <w:b/>
          <w:u w:val="single"/>
        </w:rPr>
        <w:t xml:space="preserve"> obce Popůvky v období od </w:t>
      </w:r>
      <w:r>
        <w:rPr>
          <w:rFonts w:eastAsia="Batang"/>
          <w:b/>
          <w:u w:val="single"/>
        </w:rPr>
        <w:t>15. 3</w:t>
      </w:r>
      <w:r w:rsidRPr="00533BA6">
        <w:rPr>
          <w:rFonts w:eastAsia="Batang"/>
          <w:b/>
          <w:u w:val="single"/>
        </w:rPr>
        <w:t>.</w:t>
      </w:r>
      <w:r>
        <w:rPr>
          <w:rFonts w:eastAsia="Batang"/>
          <w:b/>
          <w:u w:val="single"/>
        </w:rPr>
        <w:t xml:space="preserve"> </w:t>
      </w:r>
      <w:r w:rsidRPr="00533BA6">
        <w:rPr>
          <w:rFonts w:eastAsia="Batang"/>
          <w:b/>
          <w:u w:val="single"/>
        </w:rPr>
        <w:t>201</w:t>
      </w:r>
      <w:r>
        <w:rPr>
          <w:rFonts w:eastAsia="Batang"/>
          <w:b/>
          <w:u w:val="single"/>
        </w:rPr>
        <w:t>2</w:t>
      </w:r>
      <w:r w:rsidRPr="00533BA6">
        <w:rPr>
          <w:rFonts w:eastAsia="Batang"/>
          <w:b/>
          <w:u w:val="single"/>
        </w:rPr>
        <w:t xml:space="preserve"> do </w:t>
      </w:r>
      <w:r>
        <w:rPr>
          <w:rFonts w:eastAsia="Batang"/>
          <w:b/>
          <w:u w:val="single"/>
        </w:rPr>
        <w:t>20. 6</w:t>
      </w:r>
      <w:r w:rsidRPr="00533BA6">
        <w:rPr>
          <w:rFonts w:eastAsia="Batang"/>
          <w:b/>
          <w:u w:val="single"/>
        </w:rPr>
        <w:t>.</w:t>
      </w:r>
      <w:r>
        <w:rPr>
          <w:rFonts w:eastAsia="Batang"/>
          <w:b/>
          <w:u w:val="single"/>
        </w:rPr>
        <w:t xml:space="preserve"> </w:t>
      </w:r>
      <w:r w:rsidRPr="00533BA6">
        <w:rPr>
          <w:rFonts w:eastAsia="Batang"/>
          <w:b/>
          <w:u w:val="single"/>
        </w:rPr>
        <w:t>2012</w:t>
      </w:r>
    </w:p>
    <w:p w:rsidR="004855E3" w:rsidRDefault="004855E3" w:rsidP="004855E3">
      <w:pPr>
        <w:jc w:val="center"/>
        <w:rPr>
          <w:rFonts w:ascii="Arial" w:eastAsia="Batang" w:hAnsi="Arial" w:cs="Arial"/>
          <w:b/>
          <w:u w:val="single"/>
        </w:rPr>
      </w:pPr>
    </w:p>
    <w:p w:rsidR="00245CC7" w:rsidRPr="004855E3" w:rsidRDefault="004855E3" w:rsidP="00245CC7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855E3">
        <w:rPr>
          <w:sz w:val="20"/>
          <w:szCs w:val="20"/>
        </w:rPr>
        <w:t xml:space="preserve">V tomto období se </w:t>
      </w:r>
      <w:proofErr w:type="spellStart"/>
      <w:r w:rsidRPr="004855E3">
        <w:rPr>
          <w:sz w:val="20"/>
          <w:szCs w:val="20"/>
        </w:rPr>
        <w:t>FV</w:t>
      </w:r>
      <w:proofErr w:type="spellEnd"/>
      <w:r w:rsidRPr="004855E3">
        <w:rPr>
          <w:sz w:val="20"/>
          <w:szCs w:val="20"/>
        </w:rPr>
        <w:t xml:space="preserve"> sešel celkem </w:t>
      </w:r>
      <w:proofErr w:type="spellStart"/>
      <w:r w:rsidRPr="004855E3">
        <w:rPr>
          <w:sz w:val="20"/>
          <w:szCs w:val="20"/>
        </w:rPr>
        <w:t>3x</w:t>
      </w:r>
      <w:proofErr w:type="spellEnd"/>
      <w:r w:rsidRPr="004855E3">
        <w:rPr>
          <w:sz w:val="20"/>
          <w:szCs w:val="20"/>
        </w:rPr>
        <w:t xml:space="preserve"> a to dne 25. 4. 2012, 2. 5. 2012 a 30. 5. 2012. </w:t>
      </w:r>
      <w:r w:rsidR="00245CC7" w:rsidRPr="004855E3">
        <w:rPr>
          <w:sz w:val="20"/>
          <w:szCs w:val="20"/>
        </w:rPr>
        <w:t xml:space="preserve">Finanční výbor se v uplynulém čtvrtletí zabýval především přípravou a zpracováním dokumentu Závěrečného účtu obce za rok 2011. Průběžně kontrolujeme plnění a čerpání rozpočtu obce, s tím související přípravou rozpočtových opatření. </w:t>
      </w:r>
      <w:r w:rsidRPr="004855E3">
        <w:rPr>
          <w:sz w:val="20"/>
          <w:szCs w:val="20"/>
        </w:rPr>
        <w:t>Z</w:t>
      </w:r>
      <w:r w:rsidR="00245CC7" w:rsidRPr="004855E3">
        <w:rPr>
          <w:sz w:val="20"/>
          <w:szCs w:val="20"/>
        </w:rPr>
        <w:t xml:space="preserve">astupitelstvu </w:t>
      </w:r>
      <w:r w:rsidRPr="004855E3">
        <w:rPr>
          <w:sz w:val="20"/>
          <w:szCs w:val="20"/>
        </w:rPr>
        <w:t xml:space="preserve">obce jsme na jeho zasedání dne 20. 6. 2012 předložili </w:t>
      </w:r>
      <w:r w:rsidR="00245CC7" w:rsidRPr="004855E3">
        <w:rPr>
          <w:sz w:val="20"/>
          <w:szCs w:val="20"/>
        </w:rPr>
        <w:t xml:space="preserve">následující informace o plnění našich rozpočtovaných příjmů a výdajů v následující tabulce: </w:t>
      </w:r>
    </w:p>
    <w:p w:rsidR="00DA2A8C" w:rsidRDefault="00DA2A8C" w:rsidP="00DA2A8C">
      <w:pPr>
        <w:jc w:val="both"/>
        <w:rPr>
          <w:b/>
        </w:rPr>
      </w:pPr>
    </w:p>
    <w:p w:rsidR="00DA2A8C" w:rsidRPr="00E56858" w:rsidRDefault="00DA2A8C" w:rsidP="00DA2A8C">
      <w:pPr>
        <w:jc w:val="both"/>
        <w:rPr>
          <w:b/>
        </w:rPr>
      </w:pPr>
      <w:r w:rsidRPr="00E56858">
        <w:rPr>
          <w:b/>
        </w:rPr>
        <w:t>Rozborový přehled o stavu příjmů, výdajů a financování k </w:t>
      </w:r>
      <w:r w:rsidR="00E87844" w:rsidRPr="00E56858">
        <w:rPr>
          <w:b/>
        </w:rPr>
        <w:t>31.</w:t>
      </w:r>
      <w:r w:rsidR="00E87844">
        <w:rPr>
          <w:b/>
        </w:rPr>
        <w:t xml:space="preserve"> 5. 2012</w:t>
      </w:r>
      <w:r w:rsidRPr="00E56858">
        <w:rPr>
          <w:b/>
        </w:rPr>
        <w:t xml:space="preserve"> (v Kč)</w:t>
      </w:r>
    </w:p>
    <w:tbl>
      <w:tblPr>
        <w:tblW w:w="10626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5"/>
        <w:gridCol w:w="1698"/>
        <w:gridCol w:w="1658"/>
        <w:gridCol w:w="1840"/>
        <w:gridCol w:w="1915"/>
      </w:tblGrid>
      <w:tr w:rsidR="00DA2A8C" w:rsidRPr="00414D0E" w:rsidTr="00DA2A8C">
        <w:trPr>
          <w:trHeight w:val="298"/>
        </w:trPr>
        <w:tc>
          <w:tcPr>
            <w:tcW w:w="1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popis</w:t>
            </w: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Schválený rozpočet</w:t>
            </w:r>
          </w:p>
        </w:tc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Upravený rozpočet</w:t>
            </w:r>
          </w:p>
        </w:tc>
        <w:tc>
          <w:tcPr>
            <w:tcW w:w="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A2A8C">
            <w:pPr>
              <w:snapToGrid w:val="0"/>
              <w:jc w:val="center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Čerpání k </w:t>
            </w:r>
            <w:r w:rsidR="00E87844" w:rsidRPr="00414D0E">
              <w:rPr>
                <w:sz w:val="18"/>
                <w:szCs w:val="18"/>
              </w:rPr>
              <w:t>31.</w:t>
            </w:r>
            <w:r w:rsidR="00E87844">
              <w:rPr>
                <w:sz w:val="18"/>
                <w:szCs w:val="18"/>
              </w:rPr>
              <w:t xml:space="preserve"> 5. 2012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%plnění k upr.rozpočtu</w:t>
            </w:r>
          </w:p>
        </w:tc>
      </w:tr>
      <w:tr w:rsidR="00DA2A8C" w:rsidRPr="00414D0E" w:rsidTr="00DA2A8C">
        <w:trPr>
          <w:trHeight w:val="182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414D0E">
              <w:rPr>
                <w:b/>
                <w:bCs/>
                <w:sz w:val="18"/>
                <w:szCs w:val="18"/>
              </w:rPr>
              <w:t>Rozpočtové příjmy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A2A8C" w:rsidRPr="00414D0E" w:rsidTr="00DA2A8C">
        <w:trPr>
          <w:trHeight w:val="292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Daňové příjmy + místní poplatky – tř.1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8 740 000,00</w:t>
            </w: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8 740 000,00</w:t>
            </w: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4 487 065,63</w:t>
            </w: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51,34</w:t>
            </w:r>
          </w:p>
        </w:tc>
      </w:tr>
      <w:tr w:rsidR="00DA2A8C" w:rsidRPr="00414D0E" w:rsidTr="00DA2A8C">
        <w:trPr>
          <w:trHeight w:val="330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Nedaňové příjmy-tř.2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515 000,00</w:t>
            </w: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515 000,00</w:t>
            </w: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451 024,62</w:t>
            </w: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87,58</w:t>
            </w:r>
          </w:p>
        </w:tc>
      </w:tr>
      <w:tr w:rsidR="00DA2A8C" w:rsidRPr="00414D0E" w:rsidTr="00DA2A8C">
        <w:trPr>
          <w:trHeight w:val="353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Kapitálové příjmy-tř.3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3 000 000,00</w:t>
            </w: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3 000 000,00</w:t>
            </w: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929 200,00</w:t>
            </w: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30,97</w:t>
            </w:r>
          </w:p>
        </w:tc>
      </w:tr>
      <w:tr w:rsidR="00DA2A8C" w:rsidRPr="00414D0E" w:rsidTr="00DA2A8C">
        <w:trPr>
          <w:trHeight w:val="336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Přijaté dotace-tř.4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351 000,00</w:t>
            </w: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482 200,00</w:t>
            </w: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277 393,20</w:t>
            </w: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57,53</w:t>
            </w:r>
          </w:p>
        </w:tc>
      </w:tr>
      <w:tr w:rsidR="00DA2A8C" w:rsidRPr="00414D0E" w:rsidTr="00DA2A8C">
        <w:trPr>
          <w:trHeight w:val="240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414D0E">
              <w:rPr>
                <w:b/>
                <w:bCs/>
                <w:sz w:val="18"/>
                <w:szCs w:val="18"/>
              </w:rPr>
              <w:t>Příjmy celkem – tř.1+2+3+4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12 606 000,00</w:t>
            </w: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12 737 200,00</w:t>
            </w: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6 144 683,45</w:t>
            </w: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48,24</w:t>
            </w:r>
          </w:p>
        </w:tc>
      </w:tr>
      <w:tr w:rsidR="00DA2A8C" w:rsidRPr="00414D0E" w:rsidTr="00DA2A8C">
        <w:trPr>
          <w:trHeight w:val="156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A2A8C" w:rsidRPr="00414D0E" w:rsidTr="00DA2A8C">
        <w:trPr>
          <w:trHeight w:val="264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414D0E">
              <w:rPr>
                <w:b/>
                <w:bCs/>
                <w:sz w:val="18"/>
                <w:szCs w:val="18"/>
              </w:rPr>
              <w:t>Rozpočtové výdaje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A2A8C" w:rsidRPr="00414D0E" w:rsidTr="00DA2A8C">
        <w:trPr>
          <w:trHeight w:val="282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Běžné výdaje-tř.5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8 059 500,00</w:t>
            </w: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8 052 500,00</w:t>
            </w: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3 153 590,70</w:t>
            </w: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39,16</w:t>
            </w:r>
          </w:p>
        </w:tc>
      </w:tr>
      <w:tr w:rsidR="00DA2A8C" w:rsidRPr="00414D0E" w:rsidTr="00DA2A8C">
        <w:trPr>
          <w:trHeight w:val="348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Kapitálové výdaje-tř.6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7 000 000,00</w:t>
            </w: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8 638 200,00</w:t>
            </w: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2 578 180,17</w:t>
            </w: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29,85</w:t>
            </w:r>
          </w:p>
        </w:tc>
      </w:tr>
      <w:tr w:rsidR="00DA2A8C" w:rsidRPr="00414D0E" w:rsidTr="00DA2A8C">
        <w:trPr>
          <w:trHeight w:val="315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414D0E">
              <w:rPr>
                <w:b/>
                <w:bCs/>
                <w:sz w:val="18"/>
                <w:szCs w:val="18"/>
              </w:rPr>
              <w:t>Výdaje celkem-tř.5+6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15 059 500,00</w:t>
            </w: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16 690 700,00</w:t>
            </w: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5 731 770,87</w:t>
            </w: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34,34</w:t>
            </w:r>
          </w:p>
        </w:tc>
      </w:tr>
      <w:tr w:rsidR="00DA2A8C" w:rsidRPr="00414D0E" w:rsidTr="00DA2A8C">
        <w:trPr>
          <w:trHeight w:val="144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A2A8C" w:rsidRPr="00414D0E" w:rsidTr="00DA2A8C">
        <w:trPr>
          <w:trHeight w:val="208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414D0E">
              <w:rPr>
                <w:b/>
                <w:bCs/>
                <w:sz w:val="18"/>
                <w:szCs w:val="18"/>
              </w:rPr>
              <w:t xml:space="preserve">Financování 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A2A8C" w:rsidRPr="00414D0E" w:rsidTr="00DA2A8C">
        <w:trPr>
          <w:trHeight w:val="612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0328D5" w:rsidRDefault="00DA2A8C" w:rsidP="00D820C2">
            <w:pPr>
              <w:snapToGrid w:val="0"/>
              <w:jc w:val="both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- pol.8115 – zapojení přebytku z</w:t>
            </w:r>
            <w:r>
              <w:rPr>
                <w:sz w:val="18"/>
                <w:szCs w:val="18"/>
              </w:rPr>
              <w:t xml:space="preserve"> min. </w:t>
            </w:r>
            <w:r w:rsidRPr="00414D0E">
              <w:rPr>
                <w:sz w:val="18"/>
                <w:szCs w:val="18"/>
              </w:rPr>
              <w:t>roku</w:t>
            </w:r>
          </w:p>
          <w:p w:rsidR="00DA2A8C" w:rsidRPr="000328D5" w:rsidRDefault="000328D5" w:rsidP="00D820C2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328D5">
              <w:rPr>
                <w:sz w:val="16"/>
                <w:szCs w:val="16"/>
              </w:rPr>
              <w:t>pol. 8115-změna stavu krátkod.prostředků (BÚ)</w:t>
            </w:r>
            <w:r w:rsidR="00DA2A8C" w:rsidRPr="000328D5">
              <w:rPr>
                <w:sz w:val="16"/>
                <w:szCs w:val="16"/>
              </w:rPr>
              <w:t xml:space="preserve"> </w:t>
            </w:r>
          </w:p>
          <w:p w:rsidR="00DA2A8C" w:rsidRPr="00414D0E" w:rsidRDefault="00DA2A8C" w:rsidP="00D820C2">
            <w:pPr>
              <w:jc w:val="both"/>
              <w:rPr>
                <w:sz w:val="18"/>
                <w:szCs w:val="18"/>
              </w:rPr>
            </w:pPr>
            <w:r w:rsidRPr="00414D0E">
              <w:rPr>
                <w:sz w:val="18"/>
                <w:szCs w:val="18"/>
              </w:rPr>
              <w:t>–pol.8124-splátky úvěru</w:t>
            </w:r>
          </w:p>
          <w:p w:rsidR="00DA2A8C" w:rsidRPr="00414D0E" w:rsidRDefault="00DA2A8C" w:rsidP="00D820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Default="000328D5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3 000 000,00</w:t>
            </w:r>
          </w:p>
          <w:p w:rsidR="000328D5" w:rsidRDefault="000328D5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3 000 000,00</w:t>
            </w:r>
          </w:p>
          <w:p w:rsidR="000328D5" w:rsidRDefault="000328D5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-546</w:t>
            </w:r>
            <w:r w:rsidR="00E8784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500</w:t>
            </w:r>
            <w:r w:rsidR="00E87844">
              <w:rPr>
                <w:sz w:val="18"/>
                <w:szCs w:val="18"/>
              </w:rPr>
              <w:t>,00</w:t>
            </w:r>
          </w:p>
          <w:p w:rsidR="000328D5" w:rsidRPr="00414D0E" w:rsidRDefault="000328D5" w:rsidP="00D820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Default="000328D5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4 500 000,00</w:t>
            </w:r>
          </w:p>
          <w:p w:rsidR="000328D5" w:rsidRDefault="000328D5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4 500 000,00</w:t>
            </w:r>
          </w:p>
          <w:p w:rsidR="00E87844" w:rsidRPr="00414D0E" w:rsidRDefault="00E87844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-546 500,00</w:t>
            </w: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Default="000328D5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:rsidR="000328D5" w:rsidRDefault="000328D5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-190 053,20</w:t>
            </w:r>
          </w:p>
          <w:p w:rsidR="00E87844" w:rsidRPr="00414D0E" w:rsidRDefault="00E87844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-222 859,38</w:t>
            </w: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Default="000328D5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  <w:p w:rsidR="000328D5" w:rsidRDefault="000328D5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-4,22</w:t>
            </w:r>
          </w:p>
          <w:p w:rsidR="00E87844" w:rsidRPr="00414D0E" w:rsidRDefault="00E87844" w:rsidP="00D82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40,78</w:t>
            </w:r>
          </w:p>
        </w:tc>
      </w:tr>
      <w:tr w:rsidR="00DA2A8C" w:rsidRPr="00414D0E" w:rsidTr="00DA2A8C">
        <w:trPr>
          <w:trHeight w:val="318"/>
        </w:trPr>
        <w:tc>
          <w:tcPr>
            <w:tcW w:w="1654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DA2A8C" w:rsidP="00D820C2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414D0E">
              <w:rPr>
                <w:b/>
                <w:bCs/>
                <w:sz w:val="18"/>
                <w:szCs w:val="18"/>
              </w:rPr>
              <w:t>Financování celkem</w:t>
            </w:r>
          </w:p>
        </w:tc>
        <w:tc>
          <w:tcPr>
            <w:tcW w:w="799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E87844" w:rsidP="00D820C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2 453 500,00</w:t>
            </w:r>
          </w:p>
        </w:tc>
        <w:tc>
          <w:tcPr>
            <w:tcW w:w="780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E87844" w:rsidP="00D820C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3 953 500,00</w:t>
            </w:r>
          </w:p>
        </w:tc>
        <w:tc>
          <w:tcPr>
            <w:tcW w:w="866" w:type="pct"/>
            <w:tcBorders>
              <w:left w:val="single" w:sz="8" w:space="0" w:color="000000"/>
              <w:bottom w:val="single" w:sz="8" w:space="0" w:color="000000"/>
            </w:tcBorders>
          </w:tcPr>
          <w:p w:rsidR="00DA2A8C" w:rsidRPr="00414D0E" w:rsidRDefault="00E87844" w:rsidP="00D820C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-412 912,58</w:t>
            </w:r>
          </w:p>
        </w:tc>
        <w:tc>
          <w:tcPr>
            <w:tcW w:w="90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2A8C" w:rsidRPr="00414D0E" w:rsidRDefault="00E87844" w:rsidP="00D820C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-10,44</w:t>
            </w:r>
          </w:p>
        </w:tc>
      </w:tr>
    </w:tbl>
    <w:p w:rsidR="00DA2A8C" w:rsidRPr="004855E3" w:rsidRDefault="00DA2A8C" w:rsidP="00DA2A8C">
      <w:pPr>
        <w:rPr>
          <w:sz w:val="20"/>
          <w:szCs w:val="20"/>
        </w:rPr>
      </w:pPr>
      <w:r w:rsidRPr="004855E3">
        <w:rPr>
          <w:sz w:val="20"/>
          <w:szCs w:val="20"/>
        </w:rPr>
        <w:t xml:space="preserve">Příjmy byly celkově </w:t>
      </w:r>
      <w:proofErr w:type="gramStart"/>
      <w:r w:rsidRPr="004855E3">
        <w:rPr>
          <w:sz w:val="20"/>
          <w:szCs w:val="20"/>
        </w:rPr>
        <w:t>naplněny  na</w:t>
      </w:r>
      <w:proofErr w:type="gramEnd"/>
      <w:r w:rsidRPr="004855E3">
        <w:rPr>
          <w:sz w:val="20"/>
          <w:szCs w:val="20"/>
        </w:rPr>
        <w:t xml:space="preserve">  48,74 % schváleného rozpočtu a </w:t>
      </w:r>
      <w:r w:rsidR="00E87844" w:rsidRPr="004855E3">
        <w:rPr>
          <w:sz w:val="20"/>
          <w:szCs w:val="20"/>
        </w:rPr>
        <w:t>na 48,24</w:t>
      </w:r>
      <w:r w:rsidRPr="004855E3">
        <w:rPr>
          <w:sz w:val="20"/>
          <w:szCs w:val="20"/>
        </w:rPr>
        <w:t xml:space="preserve"> % upraveného rozpočtu.  </w:t>
      </w:r>
    </w:p>
    <w:p w:rsidR="00DA2A8C" w:rsidRPr="004855E3" w:rsidRDefault="00DA2A8C" w:rsidP="00DA2A8C">
      <w:pPr>
        <w:rPr>
          <w:sz w:val="20"/>
          <w:szCs w:val="20"/>
        </w:rPr>
      </w:pPr>
      <w:r w:rsidRPr="004855E3">
        <w:rPr>
          <w:sz w:val="20"/>
          <w:szCs w:val="20"/>
        </w:rPr>
        <w:t xml:space="preserve">Celkové výdaje byly čerpány do výše </w:t>
      </w:r>
      <w:r w:rsidR="00E87844" w:rsidRPr="004855E3">
        <w:rPr>
          <w:sz w:val="20"/>
          <w:szCs w:val="20"/>
        </w:rPr>
        <w:t>38,06</w:t>
      </w:r>
      <w:r w:rsidRPr="004855E3">
        <w:rPr>
          <w:sz w:val="20"/>
          <w:szCs w:val="20"/>
        </w:rPr>
        <w:t xml:space="preserve"> % schváleného rozpočtu a na </w:t>
      </w:r>
      <w:r w:rsidR="00E87844" w:rsidRPr="004855E3">
        <w:rPr>
          <w:sz w:val="20"/>
          <w:szCs w:val="20"/>
        </w:rPr>
        <w:t>34,34</w:t>
      </w:r>
      <w:r w:rsidRPr="004855E3">
        <w:rPr>
          <w:sz w:val="20"/>
          <w:szCs w:val="20"/>
        </w:rPr>
        <w:t xml:space="preserve"> % upraveného rozpočtu.</w:t>
      </w:r>
    </w:p>
    <w:p w:rsidR="00E87844" w:rsidRPr="004855E3" w:rsidRDefault="00E87844" w:rsidP="00DA2A8C">
      <w:pPr>
        <w:rPr>
          <w:sz w:val="20"/>
          <w:szCs w:val="20"/>
        </w:rPr>
      </w:pPr>
    </w:p>
    <w:p w:rsidR="00E87844" w:rsidRPr="004855E3" w:rsidRDefault="00E87844" w:rsidP="00E87844">
      <w:pPr>
        <w:tabs>
          <w:tab w:val="left" w:pos="4840"/>
        </w:tabs>
        <w:rPr>
          <w:sz w:val="20"/>
          <w:szCs w:val="20"/>
        </w:rPr>
      </w:pPr>
      <w:r w:rsidRPr="004855E3">
        <w:rPr>
          <w:sz w:val="20"/>
          <w:szCs w:val="20"/>
        </w:rPr>
        <w:t xml:space="preserve">Zůstatek na BÚ k 31. 5. </w:t>
      </w:r>
      <w:proofErr w:type="gramStart"/>
      <w:r w:rsidRPr="004855E3">
        <w:rPr>
          <w:sz w:val="20"/>
          <w:szCs w:val="20"/>
        </w:rPr>
        <w:t>2012........................................</w:t>
      </w:r>
      <w:r w:rsidRPr="004855E3">
        <w:rPr>
          <w:sz w:val="20"/>
          <w:szCs w:val="20"/>
        </w:rPr>
        <w:tab/>
        <w:t>7,498.223,58</w:t>
      </w:r>
      <w:proofErr w:type="gramEnd"/>
      <w:r w:rsidRPr="004855E3">
        <w:rPr>
          <w:sz w:val="20"/>
          <w:szCs w:val="20"/>
        </w:rPr>
        <w:t xml:space="preserve"> Kč</w:t>
      </w:r>
    </w:p>
    <w:p w:rsidR="00E87844" w:rsidRPr="004855E3" w:rsidRDefault="00E87844" w:rsidP="00E87844">
      <w:pPr>
        <w:tabs>
          <w:tab w:val="left" w:pos="4840"/>
        </w:tabs>
        <w:rPr>
          <w:sz w:val="20"/>
          <w:szCs w:val="20"/>
        </w:rPr>
      </w:pPr>
      <w:r w:rsidRPr="004855E3">
        <w:rPr>
          <w:sz w:val="20"/>
          <w:szCs w:val="20"/>
        </w:rPr>
        <w:t xml:space="preserve">Zůstatek na BÚ ke dni 20. 6. </w:t>
      </w:r>
      <w:proofErr w:type="gramStart"/>
      <w:r w:rsidRPr="004855E3">
        <w:rPr>
          <w:sz w:val="20"/>
          <w:szCs w:val="20"/>
        </w:rPr>
        <w:t>2012................................</w:t>
      </w:r>
      <w:r w:rsidR="00994D75" w:rsidRPr="004855E3">
        <w:rPr>
          <w:sz w:val="20"/>
          <w:szCs w:val="20"/>
        </w:rPr>
        <w:tab/>
        <w:t>4,515.168,86</w:t>
      </w:r>
      <w:proofErr w:type="gramEnd"/>
      <w:r w:rsidR="00994D75" w:rsidRPr="004855E3">
        <w:rPr>
          <w:sz w:val="20"/>
          <w:szCs w:val="20"/>
        </w:rPr>
        <w:t xml:space="preserve"> Kč</w:t>
      </w:r>
      <w:r w:rsidRPr="004855E3">
        <w:rPr>
          <w:sz w:val="20"/>
          <w:szCs w:val="20"/>
        </w:rPr>
        <w:tab/>
      </w:r>
      <w:r w:rsidR="00994D75" w:rsidRPr="004855E3">
        <w:rPr>
          <w:sz w:val="20"/>
          <w:szCs w:val="20"/>
        </w:rPr>
        <w:tab/>
      </w:r>
    </w:p>
    <w:p w:rsidR="00E87844" w:rsidRPr="004855E3" w:rsidRDefault="00E87844" w:rsidP="00E87844">
      <w:pPr>
        <w:tabs>
          <w:tab w:val="left" w:pos="4840"/>
        </w:tabs>
        <w:rPr>
          <w:sz w:val="20"/>
          <w:szCs w:val="20"/>
        </w:rPr>
      </w:pPr>
      <w:r w:rsidRPr="004855E3">
        <w:rPr>
          <w:sz w:val="20"/>
          <w:szCs w:val="20"/>
        </w:rPr>
        <w:t xml:space="preserve">Zůstatek nesplaceného úvěru k 31. 5. </w:t>
      </w:r>
      <w:proofErr w:type="gramStart"/>
      <w:r w:rsidRPr="004855E3">
        <w:rPr>
          <w:sz w:val="20"/>
          <w:szCs w:val="20"/>
        </w:rPr>
        <w:t>2012..................</w:t>
      </w:r>
      <w:r w:rsidRPr="004855E3">
        <w:rPr>
          <w:sz w:val="20"/>
          <w:szCs w:val="20"/>
        </w:rPr>
        <w:tab/>
        <w:t xml:space="preserve">    960.317,35</w:t>
      </w:r>
      <w:proofErr w:type="gramEnd"/>
      <w:r w:rsidRPr="004855E3">
        <w:rPr>
          <w:sz w:val="20"/>
          <w:szCs w:val="20"/>
        </w:rPr>
        <w:t xml:space="preserve"> Kč</w:t>
      </w:r>
    </w:p>
    <w:p w:rsidR="003C4AB8" w:rsidRPr="004855E3" w:rsidRDefault="003C4AB8" w:rsidP="00E87844">
      <w:pPr>
        <w:tabs>
          <w:tab w:val="left" w:pos="4840"/>
        </w:tabs>
        <w:rPr>
          <w:sz w:val="20"/>
          <w:szCs w:val="20"/>
        </w:rPr>
      </w:pPr>
    </w:p>
    <w:p w:rsidR="003C4AB8" w:rsidRPr="004855E3" w:rsidRDefault="003C4AB8" w:rsidP="00E87844">
      <w:pPr>
        <w:tabs>
          <w:tab w:val="left" w:pos="4840"/>
        </w:tabs>
        <w:rPr>
          <w:sz w:val="20"/>
          <w:szCs w:val="20"/>
        </w:rPr>
      </w:pPr>
      <w:r w:rsidRPr="004855E3">
        <w:rPr>
          <w:sz w:val="20"/>
          <w:szCs w:val="20"/>
        </w:rPr>
        <w:t xml:space="preserve">Náklady k 31. 5.  </w:t>
      </w:r>
      <w:proofErr w:type="gramStart"/>
      <w:r w:rsidRPr="004855E3">
        <w:rPr>
          <w:sz w:val="20"/>
          <w:szCs w:val="20"/>
        </w:rPr>
        <w:t>2012 ................................................</w:t>
      </w:r>
      <w:r w:rsidRPr="004855E3">
        <w:rPr>
          <w:sz w:val="20"/>
          <w:szCs w:val="20"/>
        </w:rPr>
        <w:tab/>
        <w:t>4,788.864,45</w:t>
      </w:r>
      <w:proofErr w:type="gramEnd"/>
      <w:r w:rsidRPr="004855E3">
        <w:rPr>
          <w:sz w:val="20"/>
          <w:szCs w:val="20"/>
        </w:rPr>
        <w:t xml:space="preserve"> Kč</w:t>
      </w:r>
    </w:p>
    <w:p w:rsidR="003C4AB8" w:rsidRPr="004855E3" w:rsidRDefault="003C4AB8" w:rsidP="00E87844">
      <w:pPr>
        <w:tabs>
          <w:tab w:val="left" w:pos="4840"/>
        </w:tabs>
        <w:rPr>
          <w:sz w:val="20"/>
          <w:szCs w:val="20"/>
        </w:rPr>
      </w:pPr>
      <w:r w:rsidRPr="004855E3">
        <w:rPr>
          <w:sz w:val="20"/>
          <w:szCs w:val="20"/>
        </w:rPr>
        <w:t xml:space="preserve">Výnosy k 31. 5. </w:t>
      </w:r>
      <w:proofErr w:type="gramStart"/>
      <w:r w:rsidRPr="004855E3">
        <w:rPr>
          <w:sz w:val="20"/>
          <w:szCs w:val="20"/>
        </w:rPr>
        <w:t>2012..................................................</w:t>
      </w:r>
      <w:r w:rsidRPr="004855E3">
        <w:rPr>
          <w:sz w:val="20"/>
          <w:szCs w:val="20"/>
        </w:rPr>
        <w:tab/>
        <w:t>7,477.689,49</w:t>
      </w:r>
      <w:proofErr w:type="gramEnd"/>
      <w:r w:rsidRPr="004855E3">
        <w:rPr>
          <w:sz w:val="20"/>
          <w:szCs w:val="20"/>
        </w:rPr>
        <w:t xml:space="preserve"> Kč</w:t>
      </w:r>
    </w:p>
    <w:p w:rsidR="003C4AB8" w:rsidRPr="004855E3" w:rsidRDefault="00E87844" w:rsidP="00E87844">
      <w:pPr>
        <w:tabs>
          <w:tab w:val="left" w:pos="4840"/>
        </w:tabs>
        <w:rPr>
          <w:sz w:val="20"/>
          <w:szCs w:val="20"/>
        </w:rPr>
      </w:pPr>
      <w:r w:rsidRPr="004855E3">
        <w:rPr>
          <w:sz w:val="20"/>
          <w:szCs w:val="20"/>
        </w:rPr>
        <w:t xml:space="preserve">Výsledek hospodaření (akruál) </w:t>
      </w:r>
      <w:r w:rsidR="003C4AB8" w:rsidRPr="004855E3">
        <w:rPr>
          <w:sz w:val="20"/>
          <w:szCs w:val="20"/>
        </w:rPr>
        <w:t xml:space="preserve">k 31. 5. </w:t>
      </w:r>
      <w:proofErr w:type="gramStart"/>
      <w:r w:rsidR="003C4AB8" w:rsidRPr="004855E3">
        <w:rPr>
          <w:sz w:val="20"/>
          <w:szCs w:val="20"/>
        </w:rPr>
        <w:t>2012 .............</w:t>
      </w:r>
      <w:r w:rsidR="003C4AB8" w:rsidRPr="004855E3">
        <w:rPr>
          <w:sz w:val="20"/>
          <w:szCs w:val="20"/>
        </w:rPr>
        <w:tab/>
        <w:t>2,688.825,04</w:t>
      </w:r>
      <w:proofErr w:type="gramEnd"/>
      <w:r w:rsidR="003C4AB8" w:rsidRPr="004855E3">
        <w:rPr>
          <w:sz w:val="20"/>
          <w:szCs w:val="20"/>
        </w:rPr>
        <w:t xml:space="preserve"> Kč</w:t>
      </w:r>
    </w:p>
    <w:p w:rsidR="003C4AB8" w:rsidRPr="004855E3" w:rsidRDefault="003C4AB8" w:rsidP="00E87844">
      <w:pPr>
        <w:tabs>
          <w:tab w:val="left" w:pos="4840"/>
        </w:tabs>
        <w:rPr>
          <w:sz w:val="20"/>
          <w:szCs w:val="20"/>
        </w:rPr>
      </w:pPr>
    </w:p>
    <w:p w:rsidR="003C4AB8" w:rsidRPr="004855E3" w:rsidRDefault="003C4AB8" w:rsidP="00E87844">
      <w:pPr>
        <w:tabs>
          <w:tab w:val="left" w:pos="4840"/>
        </w:tabs>
        <w:rPr>
          <w:sz w:val="20"/>
          <w:szCs w:val="20"/>
        </w:rPr>
      </w:pPr>
      <w:r w:rsidRPr="004855E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</w:p>
    <w:p w:rsidR="0072196A" w:rsidRPr="004855E3" w:rsidRDefault="0072196A" w:rsidP="0072196A">
      <w:pPr>
        <w:jc w:val="both"/>
        <w:rPr>
          <w:sz w:val="20"/>
          <w:szCs w:val="20"/>
        </w:rPr>
      </w:pPr>
      <w:r w:rsidRPr="004855E3">
        <w:rPr>
          <w:sz w:val="20"/>
          <w:szCs w:val="20"/>
        </w:rPr>
        <w:t xml:space="preserve">Dne 25. 4. 2012 rada obce na svém zasedání schválila </w:t>
      </w:r>
      <w:proofErr w:type="spellStart"/>
      <w:r w:rsidRPr="004855E3">
        <w:rPr>
          <w:sz w:val="20"/>
          <w:szCs w:val="20"/>
        </w:rPr>
        <w:t>rozp</w:t>
      </w:r>
      <w:proofErr w:type="spellEnd"/>
      <w:r w:rsidRPr="004855E3">
        <w:rPr>
          <w:sz w:val="20"/>
          <w:szCs w:val="20"/>
        </w:rPr>
        <w:t>. opatření č. 3/2012, kterým se celkové příjmy a výdaje upraveného rozpočtu nenavýšily.</w:t>
      </w:r>
      <w:r w:rsidR="004855E3" w:rsidRPr="004855E3">
        <w:rPr>
          <w:sz w:val="20"/>
          <w:szCs w:val="20"/>
        </w:rPr>
        <w:t xml:space="preserve"> </w:t>
      </w:r>
      <w:r w:rsidRPr="004855E3">
        <w:rPr>
          <w:sz w:val="20"/>
          <w:szCs w:val="20"/>
        </w:rPr>
        <w:t xml:space="preserve">Upravený rozpočet celkem v oblasti příjmů je po tomto rozpočtovém opatření v celkové výši </w:t>
      </w:r>
      <w:r w:rsidRPr="004855E3">
        <w:rPr>
          <w:b/>
          <w:bCs/>
          <w:sz w:val="20"/>
          <w:szCs w:val="20"/>
        </w:rPr>
        <w:t xml:space="preserve">17 106 000,-- Kč </w:t>
      </w:r>
      <w:r w:rsidRPr="004855E3">
        <w:rPr>
          <w:sz w:val="20"/>
          <w:szCs w:val="20"/>
        </w:rPr>
        <w:t>(včetně financování) a celkové výdaje upraveného rozpočtu jsou ve stejné výši, tedy</w:t>
      </w:r>
      <w:r w:rsidRPr="004855E3">
        <w:rPr>
          <w:b/>
          <w:bCs/>
          <w:sz w:val="20"/>
          <w:szCs w:val="20"/>
        </w:rPr>
        <w:t xml:space="preserve"> 17 106 000,-- Kč </w:t>
      </w:r>
      <w:r w:rsidRPr="004855E3">
        <w:rPr>
          <w:sz w:val="20"/>
          <w:szCs w:val="20"/>
        </w:rPr>
        <w:t>(včetně financování)</w:t>
      </w:r>
      <w:r w:rsidR="00963D21" w:rsidRPr="004855E3">
        <w:rPr>
          <w:sz w:val="20"/>
          <w:szCs w:val="20"/>
        </w:rPr>
        <w:t>. Změny byly provedeny mezi jednotlivými závaznými ukazateli rozpočtu (mezi §§) a to navýšením na § 2212-</w:t>
      </w:r>
      <w:r w:rsidR="004855E3" w:rsidRPr="004855E3">
        <w:rPr>
          <w:sz w:val="20"/>
          <w:szCs w:val="20"/>
        </w:rPr>
        <w:t xml:space="preserve"> </w:t>
      </w:r>
      <w:r w:rsidR="00963D21" w:rsidRPr="004855E3">
        <w:rPr>
          <w:sz w:val="20"/>
          <w:szCs w:val="20"/>
        </w:rPr>
        <w:t>místní komunikace a § 3341-</w:t>
      </w:r>
      <w:r w:rsidR="004855E3" w:rsidRPr="004855E3">
        <w:rPr>
          <w:sz w:val="20"/>
          <w:szCs w:val="20"/>
        </w:rPr>
        <w:t xml:space="preserve"> </w:t>
      </w:r>
      <w:r w:rsidR="00963D21" w:rsidRPr="004855E3">
        <w:rPr>
          <w:sz w:val="20"/>
          <w:szCs w:val="20"/>
        </w:rPr>
        <w:t>místní rozhla</w:t>
      </w:r>
      <w:r w:rsidR="004855E3" w:rsidRPr="004855E3">
        <w:rPr>
          <w:sz w:val="20"/>
          <w:szCs w:val="20"/>
        </w:rPr>
        <w:t>s</w:t>
      </w:r>
      <w:r w:rsidR="00963D21" w:rsidRPr="004855E3">
        <w:rPr>
          <w:sz w:val="20"/>
          <w:szCs w:val="20"/>
        </w:rPr>
        <w:t xml:space="preserve"> (</w:t>
      </w:r>
      <w:proofErr w:type="spellStart"/>
      <w:r w:rsidR="00963D21" w:rsidRPr="004855E3">
        <w:rPr>
          <w:sz w:val="20"/>
          <w:szCs w:val="20"/>
        </w:rPr>
        <w:t>MR</w:t>
      </w:r>
      <w:proofErr w:type="spellEnd"/>
      <w:r w:rsidR="00963D21" w:rsidRPr="004855E3">
        <w:rPr>
          <w:sz w:val="20"/>
          <w:szCs w:val="20"/>
        </w:rPr>
        <w:t>) a snížením § 3632-</w:t>
      </w:r>
      <w:r w:rsidR="004855E3">
        <w:rPr>
          <w:sz w:val="20"/>
          <w:szCs w:val="20"/>
        </w:rPr>
        <w:t xml:space="preserve"> </w:t>
      </w:r>
      <w:r w:rsidR="00963D21" w:rsidRPr="004855E3">
        <w:rPr>
          <w:sz w:val="20"/>
          <w:szCs w:val="20"/>
        </w:rPr>
        <w:t>pohřebnictví.</w:t>
      </w:r>
    </w:p>
    <w:p w:rsidR="0072196A" w:rsidRPr="004855E3" w:rsidRDefault="0072196A" w:rsidP="00E87844">
      <w:pPr>
        <w:tabs>
          <w:tab w:val="left" w:pos="4840"/>
        </w:tabs>
        <w:rPr>
          <w:sz w:val="20"/>
          <w:szCs w:val="20"/>
        </w:rPr>
      </w:pPr>
    </w:p>
    <w:p w:rsidR="0072196A" w:rsidRPr="00EE3391" w:rsidRDefault="0072196A" w:rsidP="0072196A">
      <w:pPr>
        <w:rPr>
          <w:b/>
          <w:sz w:val="20"/>
          <w:szCs w:val="20"/>
        </w:rPr>
      </w:pPr>
      <w:r w:rsidRPr="00EE3391">
        <w:rPr>
          <w:b/>
          <w:sz w:val="20"/>
          <w:szCs w:val="20"/>
        </w:rPr>
        <w:t xml:space="preserve">Rozpočtové opatření č. </w:t>
      </w:r>
      <w:r>
        <w:rPr>
          <w:b/>
          <w:sz w:val="20"/>
          <w:szCs w:val="20"/>
        </w:rPr>
        <w:t>3</w:t>
      </w:r>
      <w:r w:rsidRPr="00EE3391">
        <w:rPr>
          <w:b/>
          <w:sz w:val="20"/>
          <w:szCs w:val="20"/>
        </w:rPr>
        <w:t>/2012 , které obsahuje rozpočtové změny:</w:t>
      </w:r>
    </w:p>
    <w:tbl>
      <w:tblPr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4128"/>
        <w:gridCol w:w="1040"/>
        <w:gridCol w:w="990"/>
        <w:gridCol w:w="1870"/>
        <w:gridCol w:w="1906"/>
      </w:tblGrid>
      <w:tr w:rsidR="0072196A" w:rsidRPr="00EE3391" w:rsidTr="00D820C2">
        <w:tc>
          <w:tcPr>
            <w:tcW w:w="0" w:type="auto"/>
          </w:tcPr>
          <w:p w:rsidR="0072196A" w:rsidRPr="00EE3391" w:rsidRDefault="0072196A" w:rsidP="00D820C2">
            <w:pPr>
              <w:rPr>
                <w:sz w:val="16"/>
                <w:szCs w:val="16"/>
              </w:rPr>
            </w:pPr>
            <w:r w:rsidRPr="00EE3391">
              <w:rPr>
                <w:sz w:val="16"/>
                <w:szCs w:val="16"/>
              </w:rPr>
              <w:t>č.</w:t>
            </w:r>
          </w:p>
        </w:tc>
        <w:tc>
          <w:tcPr>
            <w:tcW w:w="4128" w:type="dxa"/>
          </w:tcPr>
          <w:p w:rsidR="0072196A" w:rsidRPr="00EE3391" w:rsidRDefault="0072196A" w:rsidP="00D820C2">
            <w:pPr>
              <w:rPr>
                <w:sz w:val="16"/>
                <w:szCs w:val="16"/>
              </w:rPr>
            </w:pPr>
            <w:proofErr w:type="gramStart"/>
            <w:r w:rsidRPr="00EE3391">
              <w:rPr>
                <w:sz w:val="16"/>
                <w:szCs w:val="16"/>
              </w:rPr>
              <w:t>Popis  závazného</w:t>
            </w:r>
            <w:proofErr w:type="gramEnd"/>
            <w:r w:rsidRPr="00EE3391">
              <w:rPr>
                <w:sz w:val="16"/>
                <w:szCs w:val="16"/>
              </w:rPr>
              <w:t xml:space="preserve">  ukazatele</w:t>
            </w:r>
          </w:p>
        </w:tc>
        <w:tc>
          <w:tcPr>
            <w:tcW w:w="1040" w:type="dxa"/>
          </w:tcPr>
          <w:p w:rsidR="0072196A" w:rsidRPr="00EE3391" w:rsidRDefault="0072196A" w:rsidP="00D820C2">
            <w:pPr>
              <w:rPr>
                <w:sz w:val="16"/>
                <w:szCs w:val="16"/>
              </w:rPr>
            </w:pPr>
            <w:r w:rsidRPr="00EE3391">
              <w:rPr>
                <w:sz w:val="16"/>
                <w:szCs w:val="16"/>
              </w:rPr>
              <w:t>Příjmy</w:t>
            </w:r>
          </w:p>
        </w:tc>
        <w:tc>
          <w:tcPr>
            <w:tcW w:w="990" w:type="dxa"/>
          </w:tcPr>
          <w:p w:rsidR="0072196A" w:rsidRPr="00EE3391" w:rsidRDefault="0072196A" w:rsidP="00D820C2">
            <w:pPr>
              <w:rPr>
                <w:sz w:val="16"/>
                <w:szCs w:val="16"/>
              </w:rPr>
            </w:pPr>
            <w:r w:rsidRPr="00EE3391">
              <w:rPr>
                <w:sz w:val="16"/>
                <w:szCs w:val="16"/>
              </w:rPr>
              <w:t>Výdaje</w:t>
            </w:r>
          </w:p>
        </w:tc>
        <w:tc>
          <w:tcPr>
            <w:tcW w:w="1870" w:type="dxa"/>
          </w:tcPr>
          <w:p w:rsidR="0072196A" w:rsidRPr="00EE3391" w:rsidRDefault="0072196A" w:rsidP="00D820C2">
            <w:pPr>
              <w:rPr>
                <w:sz w:val="14"/>
                <w:szCs w:val="14"/>
              </w:rPr>
            </w:pPr>
            <w:r w:rsidRPr="00EE3391">
              <w:rPr>
                <w:sz w:val="14"/>
                <w:szCs w:val="14"/>
              </w:rPr>
              <w:t xml:space="preserve">Stav </w:t>
            </w:r>
            <w:proofErr w:type="spellStart"/>
            <w:r w:rsidRPr="00EE3391">
              <w:rPr>
                <w:sz w:val="14"/>
                <w:szCs w:val="14"/>
              </w:rPr>
              <w:t>upr</w:t>
            </w:r>
            <w:proofErr w:type="spellEnd"/>
            <w:r w:rsidRPr="00EE3391">
              <w:rPr>
                <w:sz w:val="14"/>
                <w:szCs w:val="14"/>
              </w:rPr>
              <w:t xml:space="preserve">. rozpočtu </w:t>
            </w:r>
            <w:proofErr w:type="gramStart"/>
            <w:r w:rsidRPr="00EE3391">
              <w:rPr>
                <w:sz w:val="14"/>
                <w:szCs w:val="14"/>
              </w:rPr>
              <w:t>před</w:t>
            </w:r>
            <w:proofErr w:type="gramEnd"/>
          </w:p>
          <w:p w:rsidR="0072196A" w:rsidRPr="00EE3391" w:rsidRDefault="0072196A" w:rsidP="00D820C2">
            <w:pPr>
              <w:rPr>
                <w:sz w:val="14"/>
                <w:szCs w:val="14"/>
              </w:rPr>
            </w:pPr>
            <w:r w:rsidRPr="00EE3391">
              <w:rPr>
                <w:sz w:val="14"/>
                <w:szCs w:val="14"/>
              </w:rPr>
              <w:t>rozpočtovou změnou</w:t>
            </w:r>
          </w:p>
        </w:tc>
        <w:tc>
          <w:tcPr>
            <w:tcW w:w="1906" w:type="dxa"/>
          </w:tcPr>
          <w:p w:rsidR="0072196A" w:rsidRPr="00EE3391" w:rsidRDefault="0072196A" w:rsidP="00D820C2">
            <w:pPr>
              <w:rPr>
                <w:sz w:val="14"/>
                <w:szCs w:val="14"/>
              </w:rPr>
            </w:pPr>
            <w:r w:rsidRPr="00EE3391">
              <w:rPr>
                <w:sz w:val="14"/>
                <w:szCs w:val="14"/>
              </w:rPr>
              <w:t xml:space="preserve">Stav </w:t>
            </w:r>
            <w:proofErr w:type="spellStart"/>
            <w:r w:rsidRPr="00EE3391">
              <w:rPr>
                <w:sz w:val="14"/>
                <w:szCs w:val="14"/>
              </w:rPr>
              <w:t>upr</w:t>
            </w:r>
            <w:proofErr w:type="spellEnd"/>
            <w:r w:rsidRPr="00EE3391">
              <w:rPr>
                <w:sz w:val="14"/>
                <w:szCs w:val="14"/>
              </w:rPr>
              <w:t xml:space="preserve">. rozpočtu </w:t>
            </w:r>
            <w:proofErr w:type="gramStart"/>
            <w:r w:rsidRPr="00EE3391">
              <w:rPr>
                <w:sz w:val="14"/>
                <w:szCs w:val="14"/>
              </w:rPr>
              <w:t>po</w:t>
            </w:r>
            <w:proofErr w:type="gramEnd"/>
            <w:r w:rsidRPr="00EE3391">
              <w:rPr>
                <w:sz w:val="14"/>
                <w:szCs w:val="14"/>
              </w:rPr>
              <w:t xml:space="preserve"> </w:t>
            </w:r>
          </w:p>
          <w:p w:rsidR="0072196A" w:rsidRPr="00EE3391" w:rsidRDefault="0072196A" w:rsidP="00D820C2">
            <w:pPr>
              <w:rPr>
                <w:sz w:val="14"/>
                <w:szCs w:val="14"/>
              </w:rPr>
            </w:pPr>
            <w:r w:rsidRPr="00EE3391">
              <w:rPr>
                <w:sz w:val="14"/>
                <w:szCs w:val="14"/>
              </w:rPr>
              <w:t>provedené změně</w:t>
            </w:r>
          </w:p>
        </w:tc>
      </w:tr>
      <w:tr w:rsidR="0072196A" w:rsidRPr="00EE3391" w:rsidTr="00D820C2">
        <w:tc>
          <w:tcPr>
            <w:tcW w:w="0" w:type="auto"/>
          </w:tcPr>
          <w:p w:rsidR="0072196A" w:rsidRPr="00EE3391" w:rsidRDefault="0072196A" w:rsidP="00D820C2">
            <w:pPr>
              <w:rPr>
                <w:sz w:val="14"/>
                <w:szCs w:val="14"/>
              </w:rPr>
            </w:pPr>
            <w:r w:rsidRPr="00EE3391">
              <w:rPr>
                <w:sz w:val="14"/>
                <w:szCs w:val="14"/>
              </w:rPr>
              <w:t>1.</w:t>
            </w:r>
          </w:p>
        </w:tc>
        <w:tc>
          <w:tcPr>
            <w:tcW w:w="4128" w:type="dxa"/>
          </w:tcPr>
          <w:p w:rsidR="0072196A" w:rsidRPr="00EE3391" w:rsidRDefault="0072196A" w:rsidP="00D820C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par. </w:t>
            </w:r>
            <w:proofErr w:type="gramStart"/>
            <w:r>
              <w:rPr>
                <w:sz w:val="14"/>
                <w:szCs w:val="14"/>
              </w:rPr>
              <w:t>2212-místní</w:t>
            </w:r>
            <w:proofErr w:type="gramEnd"/>
            <w:r>
              <w:rPr>
                <w:sz w:val="14"/>
                <w:szCs w:val="14"/>
              </w:rPr>
              <w:t xml:space="preserve"> komunikace (navýšení </w:t>
            </w:r>
            <w:proofErr w:type="spellStart"/>
            <w:r>
              <w:rPr>
                <w:sz w:val="14"/>
                <w:szCs w:val="14"/>
              </w:rPr>
              <w:t>pol.5169</w:t>
            </w:r>
            <w:proofErr w:type="spellEnd"/>
            <w:r>
              <w:rPr>
                <w:sz w:val="14"/>
                <w:szCs w:val="14"/>
              </w:rPr>
              <w:t>-služby)</w:t>
            </w:r>
          </w:p>
        </w:tc>
        <w:tc>
          <w:tcPr>
            <w:tcW w:w="104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+10 000</w:t>
            </w:r>
          </w:p>
        </w:tc>
        <w:tc>
          <w:tcPr>
            <w:tcW w:w="187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300 000</w:t>
            </w:r>
          </w:p>
        </w:tc>
        <w:tc>
          <w:tcPr>
            <w:tcW w:w="1906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310 000</w:t>
            </w:r>
          </w:p>
        </w:tc>
      </w:tr>
      <w:tr w:rsidR="0072196A" w:rsidRPr="00EE3391" w:rsidTr="00D820C2">
        <w:tc>
          <w:tcPr>
            <w:tcW w:w="0" w:type="auto"/>
          </w:tcPr>
          <w:p w:rsidR="0072196A" w:rsidRPr="00EE3391" w:rsidRDefault="0072196A" w:rsidP="00D820C2">
            <w:pPr>
              <w:rPr>
                <w:sz w:val="14"/>
                <w:szCs w:val="14"/>
              </w:rPr>
            </w:pPr>
            <w:r w:rsidRPr="00EE3391">
              <w:rPr>
                <w:sz w:val="14"/>
                <w:szCs w:val="14"/>
              </w:rPr>
              <w:t>2.</w:t>
            </w:r>
          </w:p>
        </w:tc>
        <w:tc>
          <w:tcPr>
            <w:tcW w:w="4128" w:type="dxa"/>
          </w:tcPr>
          <w:p w:rsidR="0072196A" w:rsidRPr="00EE3391" w:rsidRDefault="0072196A" w:rsidP="00D820C2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par.3341</w:t>
            </w:r>
            <w:proofErr w:type="gramEnd"/>
            <w:r>
              <w:rPr>
                <w:sz w:val="14"/>
                <w:szCs w:val="14"/>
              </w:rPr>
              <w:t xml:space="preserve">-místní rozhlas (navýšení </w:t>
            </w:r>
            <w:proofErr w:type="spellStart"/>
            <w:r>
              <w:rPr>
                <w:sz w:val="14"/>
                <w:szCs w:val="14"/>
              </w:rPr>
              <w:t>pol.5171</w:t>
            </w:r>
            <w:proofErr w:type="spellEnd"/>
            <w:r>
              <w:rPr>
                <w:sz w:val="14"/>
                <w:szCs w:val="14"/>
              </w:rPr>
              <w:t>-opravy a údržba)</w:t>
            </w:r>
          </w:p>
        </w:tc>
        <w:tc>
          <w:tcPr>
            <w:tcW w:w="104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+14 200</w:t>
            </w:r>
          </w:p>
        </w:tc>
        <w:tc>
          <w:tcPr>
            <w:tcW w:w="187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1906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34 200</w:t>
            </w:r>
          </w:p>
        </w:tc>
      </w:tr>
      <w:tr w:rsidR="0072196A" w:rsidRPr="00EE3391" w:rsidTr="00D820C2">
        <w:tc>
          <w:tcPr>
            <w:tcW w:w="0" w:type="auto"/>
          </w:tcPr>
          <w:p w:rsidR="0072196A" w:rsidRPr="00EE3391" w:rsidRDefault="0072196A" w:rsidP="00D820C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4128" w:type="dxa"/>
          </w:tcPr>
          <w:p w:rsidR="0072196A" w:rsidRPr="00EE3391" w:rsidRDefault="0072196A" w:rsidP="00D820C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par.3632-pohřebnictví (snížení </w:t>
            </w:r>
            <w:proofErr w:type="spellStart"/>
            <w:r>
              <w:rPr>
                <w:sz w:val="14"/>
                <w:szCs w:val="14"/>
              </w:rPr>
              <w:t>pol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gramStart"/>
            <w:r>
              <w:rPr>
                <w:sz w:val="14"/>
                <w:szCs w:val="14"/>
              </w:rPr>
              <w:t>5169-rezerva</w:t>
            </w:r>
            <w:proofErr w:type="gramEnd"/>
            <w:r>
              <w:rPr>
                <w:sz w:val="14"/>
                <w:szCs w:val="14"/>
              </w:rPr>
              <w:t xml:space="preserve"> na službách)</w:t>
            </w:r>
          </w:p>
        </w:tc>
        <w:tc>
          <w:tcPr>
            <w:tcW w:w="104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-24 200</w:t>
            </w:r>
          </w:p>
        </w:tc>
        <w:tc>
          <w:tcPr>
            <w:tcW w:w="187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40 000</w:t>
            </w:r>
          </w:p>
        </w:tc>
        <w:tc>
          <w:tcPr>
            <w:tcW w:w="1906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15 800</w:t>
            </w:r>
          </w:p>
        </w:tc>
      </w:tr>
      <w:tr w:rsidR="0072196A" w:rsidRPr="00EE3391" w:rsidTr="00D820C2">
        <w:tc>
          <w:tcPr>
            <w:tcW w:w="0" w:type="auto"/>
          </w:tcPr>
          <w:p w:rsidR="0072196A" w:rsidRPr="00EE3391" w:rsidRDefault="0072196A" w:rsidP="00D820C2">
            <w:pPr>
              <w:rPr>
                <w:sz w:val="14"/>
                <w:szCs w:val="14"/>
              </w:rPr>
            </w:pPr>
            <w:r w:rsidRPr="00EE3391">
              <w:rPr>
                <w:sz w:val="14"/>
                <w:szCs w:val="14"/>
              </w:rPr>
              <w:t>celkem</w:t>
            </w:r>
          </w:p>
        </w:tc>
        <w:tc>
          <w:tcPr>
            <w:tcW w:w="4128" w:type="dxa"/>
          </w:tcPr>
          <w:p w:rsidR="0072196A" w:rsidRPr="00EE3391" w:rsidRDefault="0072196A" w:rsidP="00D820C2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870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906" w:type="dxa"/>
          </w:tcPr>
          <w:p w:rsidR="0072196A" w:rsidRPr="00EE3391" w:rsidRDefault="0072196A" w:rsidP="00D820C2">
            <w:pPr>
              <w:jc w:val="right"/>
              <w:rPr>
                <w:sz w:val="14"/>
                <w:szCs w:val="14"/>
              </w:rPr>
            </w:pPr>
          </w:p>
        </w:tc>
      </w:tr>
    </w:tbl>
    <w:p w:rsidR="0072196A" w:rsidRDefault="0072196A" w:rsidP="0072196A">
      <w:pPr>
        <w:ind w:left="180" w:hanging="180"/>
        <w:jc w:val="both"/>
        <w:rPr>
          <w:sz w:val="20"/>
          <w:szCs w:val="20"/>
        </w:rPr>
      </w:pPr>
    </w:p>
    <w:p w:rsidR="0072196A" w:rsidRPr="004855E3" w:rsidRDefault="0072196A" w:rsidP="004855E3">
      <w:pPr>
        <w:rPr>
          <w:sz w:val="20"/>
          <w:szCs w:val="20"/>
        </w:rPr>
      </w:pPr>
      <w:r w:rsidRPr="004855E3">
        <w:rPr>
          <w:sz w:val="20"/>
          <w:szCs w:val="20"/>
        </w:rPr>
        <w:t>Rada obce schválila dne: 25. 4. 2012</w:t>
      </w:r>
      <w:r w:rsidR="004F4830">
        <w:rPr>
          <w:sz w:val="20"/>
          <w:szCs w:val="20"/>
        </w:rPr>
        <w:t xml:space="preserve">, </w:t>
      </w:r>
      <w:r w:rsidR="004855E3" w:rsidRPr="004855E3">
        <w:rPr>
          <w:sz w:val="20"/>
          <w:szCs w:val="20"/>
        </w:rPr>
        <w:t>u</w:t>
      </w:r>
      <w:r w:rsidRPr="004855E3">
        <w:rPr>
          <w:sz w:val="20"/>
          <w:szCs w:val="20"/>
        </w:rPr>
        <w:t>snesením č. 5</w:t>
      </w:r>
    </w:p>
    <w:p w:rsidR="0072196A" w:rsidRPr="004855E3" w:rsidRDefault="0072196A" w:rsidP="0072196A">
      <w:pPr>
        <w:ind w:left="180" w:hanging="180"/>
        <w:jc w:val="both"/>
        <w:rPr>
          <w:sz w:val="20"/>
          <w:szCs w:val="20"/>
        </w:rPr>
      </w:pPr>
    </w:p>
    <w:p w:rsidR="0072196A" w:rsidRPr="004855E3" w:rsidRDefault="0072196A" w:rsidP="0072196A">
      <w:pPr>
        <w:ind w:left="180" w:hanging="180"/>
        <w:jc w:val="both"/>
        <w:rPr>
          <w:sz w:val="20"/>
          <w:szCs w:val="20"/>
        </w:rPr>
      </w:pPr>
      <w:r w:rsidRPr="004855E3">
        <w:rPr>
          <w:sz w:val="20"/>
          <w:szCs w:val="20"/>
        </w:rPr>
        <w:t>Příjmy - daňové + nedaňové + kapitálové ………………………</w:t>
      </w:r>
      <w:proofErr w:type="gramStart"/>
      <w:r w:rsidRPr="004855E3">
        <w:rPr>
          <w:sz w:val="20"/>
          <w:szCs w:val="20"/>
        </w:rPr>
        <w:t>…..  12 606 000,-</w:t>
      </w:r>
      <w:proofErr w:type="gramEnd"/>
      <w:r w:rsidRPr="004855E3">
        <w:rPr>
          <w:sz w:val="20"/>
          <w:szCs w:val="20"/>
        </w:rPr>
        <w:t>- Kč</w:t>
      </w:r>
    </w:p>
    <w:p w:rsidR="0072196A" w:rsidRPr="004855E3" w:rsidRDefault="0072196A" w:rsidP="0072196A">
      <w:pPr>
        <w:ind w:left="180" w:hanging="180"/>
        <w:jc w:val="both"/>
        <w:rPr>
          <w:sz w:val="20"/>
          <w:szCs w:val="20"/>
        </w:rPr>
      </w:pPr>
      <w:r w:rsidRPr="004855E3">
        <w:rPr>
          <w:sz w:val="20"/>
          <w:szCs w:val="20"/>
        </w:rPr>
        <w:t>Financování (</w:t>
      </w:r>
      <w:proofErr w:type="spellStart"/>
      <w:proofErr w:type="gramStart"/>
      <w:r w:rsidRPr="004855E3">
        <w:rPr>
          <w:sz w:val="20"/>
          <w:szCs w:val="20"/>
        </w:rPr>
        <w:t>pol.8115</w:t>
      </w:r>
      <w:proofErr w:type="spellEnd"/>
      <w:proofErr w:type="gramEnd"/>
      <w:r w:rsidRPr="004855E3">
        <w:rPr>
          <w:sz w:val="20"/>
          <w:szCs w:val="20"/>
        </w:rPr>
        <w:t xml:space="preserve">-přebytek hospodaření z roku 2011)………..    4 500 000,-- Kč      </w:t>
      </w:r>
    </w:p>
    <w:p w:rsidR="0072196A" w:rsidRPr="004855E3" w:rsidRDefault="0072196A" w:rsidP="0072196A">
      <w:pPr>
        <w:ind w:left="180" w:hanging="180"/>
        <w:jc w:val="both"/>
        <w:rPr>
          <w:b/>
          <w:sz w:val="20"/>
          <w:szCs w:val="20"/>
        </w:rPr>
      </w:pPr>
      <w:r w:rsidRPr="004855E3">
        <w:rPr>
          <w:sz w:val="20"/>
          <w:szCs w:val="20"/>
        </w:rPr>
        <w:t xml:space="preserve">Příjmy celkem…………………………………………………………  </w:t>
      </w:r>
      <w:r w:rsidRPr="004855E3">
        <w:rPr>
          <w:b/>
          <w:sz w:val="20"/>
          <w:szCs w:val="20"/>
        </w:rPr>
        <w:t>17 106 000,-- Kč</w:t>
      </w:r>
    </w:p>
    <w:p w:rsidR="0072196A" w:rsidRPr="004855E3" w:rsidRDefault="0072196A" w:rsidP="0072196A">
      <w:pPr>
        <w:ind w:left="180" w:hanging="180"/>
        <w:jc w:val="both"/>
        <w:rPr>
          <w:b/>
          <w:sz w:val="20"/>
          <w:szCs w:val="20"/>
        </w:rPr>
      </w:pPr>
    </w:p>
    <w:p w:rsidR="0072196A" w:rsidRPr="004855E3" w:rsidRDefault="0072196A" w:rsidP="0072196A">
      <w:pPr>
        <w:ind w:left="180" w:hanging="180"/>
        <w:jc w:val="both"/>
        <w:rPr>
          <w:sz w:val="20"/>
          <w:szCs w:val="20"/>
        </w:rPr>
      </w:pPr>
      <w:r w:rsidRPr="004855E3">
        <w:rPr>
          <w:sz w:val="20"/>
          <w:szCs w:val="20"/>
        </w:rPr>
        <w:t>Výdaje - běžné + kapitálové …………………………………………. 16 559 500,-- Kč</w:t>
      </w:r>
    </w:p>
    <w:p w:rsidR="0072196A" w:rsidRPr="004855E3" w:rsidRDefault="0072196A" w:rsidP="0072196A">
      <w:pPr>
        <w:ind w:left="180" w:hanging="180"/>
        <w:jc w:val="both"/>
        <w:rPr>
          <w:sz w:val="20"/>
          <w:szCs w:val="20"/>
        </w:rPr>
      </w:pPr>
      <w:r w:rsidRPr="004855E3">
        <w:rPr>
          <w:sz w:val="20"/>
          <w:szCs w:val="20"/>
        </w:rPr>
        <w:t>Financování –</w:t>
      </w:r>
      <w:proofErr w:type="spellStart"/>
      <w:r w:rsidRPr="004855E3">
        <w:rPr>
          <w:sz w:val="20"/>
          <w:szCs w:val="20"/>
        </w:rPr>
        <w:t>pol.8124</w:t>
      </w:r>
      <w:proofErr w:type="spellEnd"/>
      <w:r w:rsidRPr="004855E3">
        <w:rPr>
          <w:sz w:val="20"/>
          <w:szCs w:val="20"/>
        </w:rPr>
        <w:t xml:space="preserve">-splátka </w:t>
      </w:r>
      <w:proofErr w:type="gramStart"/>
      <w:r w:rsidRPr="004855E3">
        <w:rPr>
          <w:sz w:val="20"/>
          <w:szCs w:val="20"/>
        </w:rPr>
        <w:t>úvěru    …</w:t>
      </w:r>
      <w:proofErr w:type="gramEnd"/>
      <w:r w:rsidRPr="004855E3">
        <w:rPr>
          <w:sz w:val="20"/>
          <w:szCs w:val="20"/>
        </w:rPr>
        <w:t xml:space="preserve">…………………………..       546 500,-- Kč </w:t>
      </w:r>
    </w:p>
    <w:p w:rsidR="0072196A" w:rsidRPr="004855E3" w:rsidRDefault="0072196A" w:rsidP="0072196A">
      <w:pPr>
        <w:ind w:left="180" w:hanging="180"/>
        <w:jc w:val="both"/>
        <w:rPr>
          <w:b/>
          <w:sz w:val="20"/>
          <w:szCs w:val="20"/>
        </w:rPr>
      </w:pPr>
      <w:r w:rsidRPr="004855E3">
        <w:rPr>
          <w:sz w:val="20"/>
          <w:szCs w:val="20"/>
        </w:rPr>
        <w:t xml:space="preserve">Výdaje celkem…………………………………………………………  </w:t>
      </w:r>
      <w:r w:rsidRPr="004855E3">
        <w:rPr>
          <w:b/>
          <w:sz w:val="20"/>
          <w:szCs w:val="20"/>
        </w:rPr>
        <w:t>17 106 000,-- Kč</w:t>
      </w:r>
    </w:p>
    <w:p w:rsidR="0072196A" w:rsidRPr="00EE3391" w:rsidRDefault="0072196A" w:rsidP="0072196A"/>
    <w:p w:rsidR="0072196A" w:rsidRPr="004855E3" w:rsidRDefault="0072196A" w:rsidP="0072196A">
      <w:pPr>
        <w:rPr>
          <w:sz w:val="20"/>
          <w:szCs w:val="20"/>
        </w:rPr>
      </w:pPr>
      <w:r w:rsidRPr="004855E3">
        <w:rPr>
          <w:sz w:val="20"/>
          <w:szCs w:val="20"/>
        </w:rPr>
        <w:lastRenderedPageBreak/>
        <w:t xml:space="preserve">Rozpočet je i po tomto </w:t>
      </w:r>
      <w:proofErr w:type="spellStart"/>
      <w:r w:rsidRPr="004855E3">
        <w:rPr>
          <w:sz w:val="20"/>
          <w:szCs w:val="20"/>
        </w:rPr>
        <w:t>rozp</w:t>
      </w:r>
      <w:proofErr w:type="spellEnd"/>
      <w:r w:rsidRPr="004855E3">
        <w:rPr>
          <w:sz w:val="20"/>
          <w:szCs w:val="20"/>
        </w:rPr>
        <w:t xml:space="preserve">. opatření </w:t>
      </w:r>
      <w:r w:rsidR="004F4830">
        <w:rPr>
          <w:sz w:val="20"/>
          <w:szCs w:val="20"/>
        </w:rPr>
        <w:t xml:space="preserve">schodkový. Příjmy + </w:t>
      </w:r>
      <w:proofErr w:type="gramStart"/>
      <w:r w:rsidR="004F4830">
        <w:rPr>
          <w:sz w:val="20"/>
          <w:szCs w:val="20"/>
        </w:rPr>
        <w:t xml:space="preserve">financování </w:t>
      </w:r>
      <w:r w:rsidR="004855E3" w:rsidRPr="004855E3">
        <w:rPr>
          <w:sz w:val="20"/>
          <w:szCs w:val="20"/>
        </w:rPr>
        <w:t xml:space="preserve"> </w:t>
      </w:r>
      <w:r w:rsidR="004F4830">
        <w:rPr>
          <w:sz w:val="20"/>
          <w:szCs w:val="20"/>
        </w:rPr>
        <w:t xml:space="preserve">=  </w:t>
      </w:r>
      <w:r w:rsidRPr="004855E3">
        <w:rPr>
          <w:sz w:val="20"/>
          <w:szCs w:val="20"/>
        </w:rPr>
        <w:t>výdaje</w:t>
      </w:r>
      <w:proofErr w:type="gramEnd"/>
      <w:r w:rsidRPr="004855E3">
        <w:rPr>
          <w:sz w:val="20"/>
          <w:szCs w:val="20"/>
        </w:rPr>
        <w:t xml:space="preserve"> + financování.</w:t>
      </w:r>
    </w:p>
    <w:p w:rsidR="0072196A" w:rsidRPr="004855E3" w:rsidRDefault="0072196A" w:rsidP="00E87844">
      <w:pPr>
        <w:tabs>
          <w:tab w:val="left" w:pos="4840"/>
        </w:tabs>
        <w:rPr>
          <w:sz w:val="20"/>
          <w:szCs w:val="20"/>
        </w:rPr>
      </w:pPr>
    </w:p>
    <w:p w:rsidR="0072196A" w:rsidRPr="004855E3" w:rsidRDefault="0072196A" w:rsidP="00E87844">
      <w:pPr>
        <w:tabs>
          <w:tab w:val="left" w:pos="4840"/>
        </w:tabs>
        <w:rPr>
          <w:sz w:val="20"/>
          <w:szCs w:val="20"/>
        </w:rPr>
      </w:pPr>
    </w:p>
    <w:p w:rsidR="0072196A" w:rsidRPr="004855E3" w:rsidRDefault="0072196A" w:rsidP="0072196A">
      <w:pPr>
        <w:ind w:hanging="180"/>
        <w:jc w:val="both"/>
        <w:rPr>
          <w:sz w:val="20"/>
          <w:szCs w:val="20"/>
        </w:rPr>
      </w:pPr>
      <w:r w:rsidRPr="004855E3">
        <w:rPr>
          <w:sz w:val="20"/>
          <w:szCs w:val="20"/>
        </w:rPr>
        <w:t xml:space="preserve">   Dne 23.</w:t>
      </w:r>
      <w:r w:rsidR="004855E3" w:rsidRPr="004855E3">
        <w:rPr>
          <w:sz w:val="20"/>
          <w:szCs w:val="20"/>
        </w:rPr>
        <w:t xml:space="preserve"> </w:t>
      </w:r>
      <w:r w:rsidRPr="004855E3">
        <w:rPr>
          <w:sz w:val="20"/>
          <w:szCs w:val="20"/>
        </w:rPr>
        <w:t>5.</w:t>
      </w:r>
      <w:r w:rsidR="004855E3" w:rsidRPr="004855E3">
        <w:rPr>
          <w:sz w:val="20"/>
          <w:szCs w:val="20"/>
        </w:rPr>
        <w:t xml:space="preserve"> </w:t>
      </w:r>
      <w:r w:rsidRPr="004855E3">
        <w:rPr>
          <w:sz w:val="20"/>
          <w:szCs w:val="20"/>
        </w:rPr>
        <w:t xml:space="preserve">2012 rada obce schválila </w:t>
      </w:r>
      <w:proofErr w:type="spellStart"/>
      <w:r w:rsidRPr="004855E3">
        <w:rPr>
          <w:sz w:val="20"/>
          <w:szCs w:val="20"/>
        </w:rPr>
        <w:t>rozp</w:t>
      </w:r>
      <w:proofErr w:type="spellEnd"/>
      <w:r w:rsidRPr="004855E3">
        <w:rPr>
          <w:sz w:val="20"/>
          <w:szCs w:val="20"/>
        </w:rPr>
        <w:t>. opatření č. 4/2012, kterým se celkové příjmy a výda</w:t>
      </w:r>
      <w:r w:rsidR="004F4830">
        <w:rPr>
          <w:sz w:val="20"/>
          <w:szCs w:val="20"/>
        </w:rPr>
        <w:t xml:space="preserve">je upraveného rozpočtu navýší </w:t>
      </w:r>
      <w:proofErr w:type="spellStart"/>
      <w:r w:rsidR="004F4830">
        <w:rPr>
          <w:sz w:val="20"/>
          <w:szCs w:val="20"/>
        </w:rPr>
        <w:t>o</w:t>
      </w:r>
      <w:r w:rsidRPr="004855E3">
        <w:rPr>
          <w:sz w:val="20"/>
          <w:szCs w:val="20"/>
        </w:rPr>
        <w:t>131.200</w:t>
      </w:r>
      <w:proofErr w:type="spellEnd"/>
      <w:r w:rsidRPr="004855E3">
        <w:rPr>
          <w:sz w:val="20"/>
          <w:szCs w:val="20"/>
        </w:rPr>
        <w:t xml:space="preserve">,-- Kč. Upravený rozpočet celkem v oblasti příjmů je po tomto rozpočtovém opatření v celkové výši </w:t>
      </w:r>
      <w:r w:rsidRPr="004855E3">
        <w:rPr>
          <w:b/>
          <w:bCs/>
          <w:sz w:val="20"/>
          <w:szCs w:val="20"/>
        </w:rPr>
        <w:t xml:space="preserve">17 237 200,-- Kč </w:t>
      </w:r>
      <w:r w:rsidRPr="004855E3">
        <w:rPr>
          <w:sz w:val="20"/>
          <w:szCs w:val="20"/>
        </w:rPr>
        <w:t>(včetně financování) a celkové výdaje upraveného rozpočtu jsou ve stejné výši, tedy</w:t>
      </w:r>
      <w:r w:rsidRPr="004855E3">
        <w:rPr>
          <w:b/>
          <w:bCs/>
          <w:sz w:val="20"/>
          <w:szCs w:val="20"/>
        </w:rPr>
        <w:t xml:space="preserve"> 17 237 200,-- Kč </w:t>
      </w:r>
      <w:r w:rsidRPr="004855E3">
        <w:rPr>
          <w:sz w:val="20"/>
          <w:szCs w:val="20"/>
        </w:rPr>
        <w:t>(včetně financování)</w:t>
      </w:r>
      <w:r w:rsidR="00963D21" w:rsidRPr="004855E3">
        <w:rPr>
          <w:sz w:val="20"/>
          <w:szCs w:val="20"/>
        </w:rPr>
        <w:t>. Rozpočtové opatření bylo provedeno především z důvodu změny závazného ukazatele, kterým je pro nás příjem dotace. V tomto případě se jedná o doplatek dotace z </w:t>
      </w:r>
      <w:proofErr w:type="spellStart"/>
      <w:proofErr w:type="gramStart"/>
      <w:r w:rsidR="00963D21" w:rsidRPr="004855E3">
        <w:rPr>
          <w:sz w:val="20"/>
          <w:szCs w:val="20"/>
        </w:rPr>
        <w:t>OP</w:t>
      </w:r>
      <w:proofErr w:type="spellEnd"/>
      <w:proofErr w:type="gramEnd"/>
      <w:r w:rsidR="00963D21" w:rsidRPr="004855E3">
        <w:rPr>
          <w:sz w:val="20"/>
          <w:szCs w:val="20"/>
        </w:rPr>
        <w:t xml:space="preserve"> </w:t>
      </w:r>
      <w:proofErr w:type="spellStart"/>
      <w:r w:rsidR="00963D21" w:rsidRPr="004855E3">
        <w:rPr>
          <w:sz w:val="20"/>
          <w:szCs w:val="20"/>
        </w:rPr>
        <w:t>VK</w:t>
      </w:r>
      <w:proofErr w:type="spellEnd"/>
      <w:r w:rsidR="00963D21" w:rsidRPr="004855E3">
        <w:rPr>
          <w:sz w:val="20"/>
          <w:szCs w:val="20"/>
        </w:rPr>
        <w:t xml:space="preserve"> pro naši příspěvkovou organizaci (</w:t>
      </w:r>
      <w:proofErr w:type="spellStart"/>
      <w:r w:rsidR="00963D21" w:rsidRPr="004855E3">
        <w:rPr>
          <w:sz w:val="20"/>
          <w:szCs w:val="20"/>
        </w:rPr>
        <w:t>ZŠ</w:t>
      </w:r>
      <w:proofErr w:type="spellEnd"/>
      <w:r w:rsidR="00963D21" w:rsidRPr="004855E3">
        <w:rPr>
          <w:sz w:val="20"/>
          <w:szCs w:val="20"/>
        </w:rPr>
        <w:t xml:space="preserve"> a </w:t>
      </w:r>
      <w:proofErr w:type="spellStart"/>
      <w:r w:rsidR="00963D21" w:rsidRPr="004855E3">
        <w:rPr>
          <w:sz w:val="20"/>
          <w:szCs w:val="20"/>
        </w:rPr>
        <w:t>MŠ</w:t>
      </w:r>
      <w:proofErr w:type="spellEnd"/>
      <w:r w:rsidR="00963D21" w:rsidRPr="004855E3">
        <w:rPr>
          <w:sz w:val="20"/>
          <w:szCs w:val="20"/>
        </w:rPr>
        <w:t xml:space="preserve">). Tato dotace je tzv. „průtoková“, obec je sice příjemcem, ale musí neprodleně dotaci přeposlat na účet </w:t>
      </w:r>
      <w:proofErr w:type="spellStart"/>
      <w:r w:rsidR="00963D21" w:rsidRPr="004855E3">
        <w:rPr>
          <w:sz w:val="20"/>
          <w:szCs w:val="20"/>
        </w:rPr>
        <w:t>přísp</w:t>
      </w:r>
      <w:proofErr w:type="spellEnd"/>
      <w:r w:rsidR="00963D21" w:rsidRPr="004855E3">
        <w:rPr>
          <w:sz w:val="20"/>
          <w:szCs w:val="20"/>
        </w:rPr>
        <w:t xml:space="preserve">. organizace. Dotace je dlouhodobá (konec projektu je </w:t>
      </w:r>
      <w:r w:rsidR="00B63800" w:rsidRPr="004855E3">
        <w:rPr>
          <w:sz w:val="20"/>
          <w:szCs w:val="20"/>
        </w:rPr>
        <w:t>14. 8.</w:t>
      </w:r>
      <w:r w:rsidR="00963D21" w:rsidRPr="004855E3">
        <w:rPr>
          <w:sz w:val="20"/>
          <w:szCs w:val="20"/>
        </w:rPr>
        <w:t xml:space="preserve"> 2013) a je poskytována formou zálohy. Je zúčtovatelná a podléhá finančnímu vypořádání ze SR (státním rozpočtem). Za správnost použití dotace a konečné a hlavně včasné finanční vypořádání zodpovídá zřizovatel </w:t>
      </w:r>
      <w:proofErr w:type="spellStart"/>
      <w:r w:rsidR="00963D21" w:rsidRPr="004855E3">
        <w:rPr>
          <w:sz w:val="20"/>
          <w:szCs w:val="20"/>
        </w:rPr>
        <w:t>přísp</w:t>
      </w:r>
      <w:proofErr w:type="spellEnd"/>
      <w:r w:rsidR="00963D21" w:rsidRPr="004855E3">
        <w:rPr>
          <w:sz w:val="20"/>
          <w:szCs w:val="20"/>
        </w:rPr>
        <w:t xml:space="preserve">. organizace, tedy obec. Proto </w:t>
      </w:r>
      <w:proofErr w:type="spellStart"/>
      <w:r w:rsidR="00963D21" w:rsidRPr="004855E3">
        <w:rPr>
          <w:sz w:val="20"/>
          <w:szCs w:val="20"/>
        </w:rPr>
        <w:t>FV</w:t>
      </w:r>
      <w:proofErr w:type="spellEnd"/>
      <w:r w:rsidR="00963D21" w:rsidRPr="004855E3">
        <w:rPr>
          <w:sz w:val="20"/>
          <w:szCs w:val="20"/>
        </w:rPr>
        <w:t xml:space="preserve"> kontroluje použití dotačních prostředků v účetnictví a kontrolní výbor dozoruje nad správným průběhem projektu.</w:t>
      </w:r>
    </w:p>
    <w:p w:rsidR="0072196A" w:rsidRDefault="0072196A" w:rsidP="0072196A">
      <w:pPr>
        <w:ind w:left="180" w:hanging="180"/>
        <w:jc w:val="both"/>
      </w:pPr>
    </w:p>
    <w:p w:rsidR="0072196A" w:rsidRDefault="0072196A" w:rsidP="0072196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Rozpočtové opatření č. 4/2012 , které obsahuje rozpočtové změny:</w:t>
      </w:r>
    </w:p>
    <w:tbl>
      <w:tblPr>
        <w:tblW w:w="10594" w:type="dxa"/>
        <w:tblCellMar>
          <w:left w:w="0" w:type="dxa"/>
          <w:right w:w="0" w:type="dxa"/>
        </w:tblCellMar>
        <w:tblLook w:val="04A0"/>
      </w:tblPr>
      <w:tblGrid>
        <w:gridCol w:w="660"/>
        <w:gridCol w:w="4128"/>
        <w:gridCol w:w="1040"/>
        <w:gridCol w:w="990"/>
        <w:gridCol w:w="1870"/>
        <w:gridCol w:w="1906"/>
      </w:tblGrid>
      <w:tr w:rsidR="0072196A" w:rsidTr="0072196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č.</w:t>
            </w:r>
          </w:p>
        </w:tc>
        <w:tc>
          <w:tcPr>
            <w:tcW w:w="4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Popis  závazného  ukazatele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Příjmy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Výdaje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Stav </w:t>
            </w:r>
            <w:proofErr w:type="spellStart"/>
            <w:r>
              <w:rPr>
                <w:sz w:val="14"/>
                <w:szCs w:val="14"/>
              </w:rPr>
              <w:t>upr</w:t>
            </w:r>
            <w:proofErr w:type="spellEnd"/>
            <w:r>
              <w:rPr>
                <w:sz w:val="14"/>
                <w:szCs w:val="14"/>
              </w:rPr>
              <w:t xml:space="preserve">. rozpočtu </w:t>
            </w:r>
            <w:proofErr w:type="gramStart"/>
            <w:r>
              <w:rPr>
                <w:sz w:val="14"/>
                <w:szCs w:val="14"/>
              </w:rPr>
              <w:t>před</w:t>
            </w:r>
            <w:proofErr w:type="gramEnd"/>
          </w:p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rozpočtovou změnou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Stav </w:t>
            </w:r>
            <w:proofErr w:type="spellStart"/>
            <w:r>
              <w:rPr>
                <w:sz w:val="14"/>
                <w:szCs w:val="14"/>
              </w:rPr>
              <w:t>upr</w:t>
            </w:r>
            <w:proofErr w:type="spellEnd"/>
            <w:r>
              <w:rPr>
                <w:sz w:val="14"/>
                <w:szCs w:val="14"/>
              </w:rPr>
              <w:t xml:space="preserve">. rozpočtu </w:t>
            </w:r>
            <w:proofErr w:type="gramStart"/>
            <w:r>
              <w:rPr>
                <w:sz w:val="14"/>
                <w:szCs w:val="14"/>
              </w:rPr>
              <w:t>po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provedené změně</w:t>
            </w: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pol.4116ÚZ</w:t>
            </w:r>
            <w:proofErr w:type="spellEnd"/>
            <w:r>
              <w:rPr>
                <w:sz w:val="14"/>
                <w:szCs w:val="14"/>
              </w:rPr>
              <w:t xml:space="preserve"> 32 5 33123 (průtoková dotace z </w:t>
            </w:r>
            <w:proofErr w:type="spellStart"/>
            <w:proofErr w:type="gramStart"/>
            <w:r>
              <w:rPr>
                <w:sz w:val="14"/>
                <w:szCs w:val="14"/>
              </w:rPr>
              <w:t>OP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VK</w:t>
            </w:r>
            <w:proofErr w:type="spellEnd"/>
            <w:r>
              <w:rPr>
                <w:sz w:val="14"/>
                <w:szCs w:val="14"/>
              </w:rPr>
              <w:t xml:space="preserve"> pro naši </w:t>
            </w:r>
            <w:proofErr w:type="spellStart"/>
            <w:r>
              <w:rPr>
                <w:sz w:val="14"/>
                <w:szCs w:val="14"/>
              </w:rPr>
              <w:t>ZŠ</w:t>
            </w:r>
            <w:proofErr w:type="spellEnd"/>
            <w:r>
              <w:rPr>
                <w:sz w:val="14"/>
                <w:szCs w:val="14"/>
              </w:rPr>
              <w:t>-doplatek) podíl EU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+ 111 500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131 200</w:t>
            </w: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pol.4116ÚZ</w:t>
            </w:r>
            <w:proofErr w:type="spellEnd"/>
            <w:r>
              <w:rPr>
                <w:sz w:val="14"/>
                <w:szCs w:val="14"/>
              </w:rPr>
              <w:t xml:space="preserve"> 32 1 33123 (průtoková dotace z </w:t>
            </w:r>
            <w:proofErr w:type="spellStart"/>
            <w:proofErr w:type="gramStart"/>
            <w:r>
              <w:rPr>
                <w:sz w:val="14"/>
                <w:szCs w:val="14"/>
              </w:rPr>
              <w:t>OP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VK</w:t>
            </w:r>
            <w:proofErr w:type="spellEnd"/>
            <w:r>
              <w:rPr>
                <w:sz w:val="14"/>
                <w:szCs w:val="14"/>
              </w:rPr>
              <w:t xml:space="preserve"> pro naši </w:t>
            </w:r>
            <w:proofErr w:type="spellStart"/>
            <w:r>
              <w:rPr>
                <w:sz w:val="14"/>
                <w:szCs w:val="14"/>
              </w:rPr>
              <w:t>ZŠ</w:t>
            </w:r>
            <w:proofErr w:type="spellEnd"/>
            <w:r>
              <w:rPr>
                <w:sz w:val="14"/>
                <w:szCs w:val="14"/>
              </w:rPr>
              <w:t>-doplatek) podíl SR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+19 700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§ </w:t>
            </w:r>
            <w:proofErr w:type="gramStart"/>
            <w:r>
              <w:rPr>
                <w:sz w:val="14"/>
                <w:szCs w:val="14"/>
              </w:rPr>
              <w:t>3119-školství</w:t>
            </w:r>
            <w:proofErr w:type="gramEnd"/>
            <w:r>
              <w:rPr>
                <w:sz w:val="14"/>
                <w:szCs w:val="14"/>
              </w:rPr>
              <w:t xml:space="preserve"> (převod průtokové dotace z </w:t>
            </w:r>
            <w:proofErr w:type="spellStart"/>
            <w:r>
              <w:rPr>
                <w:sz w:val="14"/>
                <w:szCs w:val="14"/>
              </w:rPr>
              <w:t>OPVK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pol</w:t>
            </w:r>
            <w:proofErr w:type="spellEnd"/>
            <w:r>
              <w:rPr>
                <w:sz w:val="14"/>
                <w:szCs w:val="14"/>
              </w:rPr>
              <w:t xml:space="preserve">. 5336 </w:t>
            </w:r>
            <w:proofErr w:type="spellStart"/>
            <w:r>
              <w:rPr>
                <w:sz w:val="14"/>
                <w:szCs w:val="14"/>
              </w:rPr>
              <w:t>ÚZ</w:t>
            </w:r>
            <w:proofErr w:type="spellEnd"/>
            <w:r>
              <w:rPr>
                <w:sz w:val="14"/>
                <w:szCs w:val="14"/>
              </w:rPr>
              <w:t xml:space="preserve"> 32 5 33123) podíl EU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+111 500</w:t>
            </w: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1 250 000</w:t>
            </w:r>
          </w:p>
        </w:tc>
        <w:tc>
          <w:tcPr>
            <w:tcW w:w="19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1 381 200</w:t>
            </w: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§ </w:t>
            </w:r>
            <w:proofErr w:type="gramStart"/>
            <w:r>
              <w:rPr>
                <w:sz w:val="14"/>
                <w:szCs w:val="14"/>
              </w:rPr>
              <w:t>3119-školství</w:t>
            </w:r>
            <w:proofErr w:type="gramEnd"/>
            <w:r>
              <w:rPr>
                <w:sz w:val="14"/>
                <w:szCs w:val="14"/>
              </w:rPr>
              <w:t xml:space="preserve"> (převod průtokové dotace z </w:t>
            </w:r>
            <w:proofErr w:type="spellStart"/>
            <w:r>
              <w:rPr>
                <w:sz w:val="14"/>
                <w:szCs w:val="14"/>
              </w:rPr>
              <w:t>OPVK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pol</w:t>
            </w:r>
            <w:proofErr w:type="spellEnd"/>
            <w:r>
              <w:rPr>
                <w:sz w:val="14"/>
                <w:szCs w:val="14"/>
              </w:rPr>
              <w:t xml:space="preserve">. 5336 </w:t>
            </w:r>
            <w:proofErr w:type="spellStart"/>
            <w:r>
              <w:rPr>
                <w:sz w:val="14"/>
                <w:szCs w:val="14"/>
              </w:rPr>
              <w:t>ÚZ</w:t>
            </w:r>
            <w:proofErr w:type="spellEnd"/>
            <w:r>
              <w:rPr>
                <w:sz w:val="14"/>
                <w:szCs w:val="14"/>
              </w:rPr>
              <w:t xml:space="preserve"> 32 1 33123) podíl SR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+19 700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§ </w:t>
            </w:r>
            <w:proofErr w:type="gramStart"/>
            <w:r>
              <w:rPr>
                <w:sz w:val="14"/>
                <w:szCs w:val="14"/>
              </w:rPr>
              <w:t>3330-církev</w:t>
            </w:r>
            <w:proofErr w:type="gramEnd"/>
            <w:r>
              <w:rPr>
                <w:sz w:val="14"/>
                <w:szCs w:val="14"/>
              </w:rPr>
              <w:t xml:space="preserve"> (neinvestiční dotace na provoz farnosti Troubsko-</w:t>
            </w:r>
            <w:proofErr w:type="spellStart"/>
            <w:r>
              <w:rPr>
                <w:sz w:val="14"/>
                <w:szCs w:val="14"/>
              </w:rPr>
              <w:t>pol.5323</w:t>
            </w:r>
            <w:proofErr w:type="spellEnd"/>
            <w:r>
              <w:rPr>
                <w:sz w:val="14"/>
                <w:szCs w:val="14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+15 000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15 000</w:t>
            </w: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§ 3632-pohřebnictví (sociální pohřeb – </w:t>
            </w:r>
            <w:proofErr w:type="spellStart"/>
            <w:proofErr w:type="gramStart"/>
            <w:r>
              <w:rPr>
                <w:sz w:val="14"/>
                <w:szCs w:val="14"/>
              </w:rPr>
              <w:t>pol.5192</w:t>
            </w:r>
            <w:proofErr w:type="spellEnd"/>
            <w:proofErr w:type="gramEnd"/>
            <w:r>
              <w:rPr>
                <w:sz w:val="14"/>
                <w:szCs w:val="14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+10 000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15 800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25 800</w:t>
            </w: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7.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§ 5311-bezpečnost (Policie Rosice-zapojení rezervy na </w:t>
            </w:r>
            <w:proofErr w:type="spellStart"/>
            <w:proofErr w:type="gramStart"/>
            <w:r>
              <w:rPr>
                <w:sz w:val="14"/>
                <w:szCs w:val="14"/>
              </w:rPr>
              <w:t>pol.5901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na </w:t>
            </w:r>
            <w:proofErr w:type="spellStart"/>
            <w:r>
              <w:rPr>
                <w:sz w:val="14"/>
                <w:szCs w:val="14"/>
              </w:rPr>
              <w:t>pol</w:t>
            </w:r>
            <w:proofErr w:type="spellEnd"/>
            <w:r>
              <w:rPr>
                <w:sz w:val="14"/>
                <w:szCs w:val="14"/>
              </w:rPr>
              <w:t xml:space="preserve">. 5321 </w:t>
            </w:r>
            <w:proofErr w:type="spellStart"/>
            <w:r>
              <w:rPr>
                <w:sz w:val="14"/>
                <w:szCs w:val="14"/>
              </w:rPr>
              <w:t>ORG</w:t>
            </w:r>
            <w:proofErr w:type="spellEnd"/>
            <w:r>
              <w:rPr>
                <w:sz w:val="14"/>
                <w:szCs w:val="14"/>
              </w:rPr>
              <w:t xml:space="preserve"> 6-úhrada služeb)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-9 400</w:t>
            </w:r>
          </w:p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+9 400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60 000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60 000</w:t>
            </w: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§ 6171 –veřejná správa (zapojení rezervy na </w:t>
            </w:r>
            <w:proofErr w:type="spellStart"/>
            <w:proofErr w:type="gramStart"/>
            <w:r>
              <w:rPr>
                <w:sz w:val="14"/>
                <w:szCs w:val="14"/>
              </w:rPr>
              <w:t>pol.5901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na posílení §§ 3330 , 3632 , 6171 a 6402)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-36 100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2 173 900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2 137 800</w:t>
            </w: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9.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§ 6171 – veřejná správa (navýšení </w:t>
            </w:r>
            <w:proofErr w:type="spellStart"/>
            <w:r>
              <w:rPr>
                <w:sz w:val="14"/>
                <w:szCs w:val="14"/>
              </w:rPr>
              <w:t>pol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gramStart"/>
            <w:r>
              <w:rPr>
                <w:sz w:val="14"/>
                <w:szCs w:val="14"/>
              </w:rPr>
              <w:t>5151 –pitná</w:t>
            </w:r>
            <w:proofErr w:type="gramEnd"/>
            <w:r>
              <w:rPr>
                <w:sz w:val="14"/>
                <w:szCs w:val="14"/>
              </w:rPr>
              <w:t xml:space="preserve"> voda)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+11 000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2 137 800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2 148 800</w:t>
            </w: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§ </w:t>
            </w:r>
            <w:proofErr w:type="gramStart"/>
            <w:r>
              <w:rPr>
                <w:sz w:val="14"/>
                <w:szCs w:val="14"/>
              </w:rPr>
              <w:t>6402-finanční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vypoř</w:t>
            </w:r>
            <w:proofErr w:type="spellEnd"/>
            <w:r>
              <w:rPr>
                <w:sz w:val="14"/>
                <w:szCs w:val="14"/>
              </w:rPr>
              <w:t>. min. let (doúčtování rozpočtu na pokrytí vratky dotace na sčítání lidu, vráceno v roce 22012 do SR)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+100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2 148 800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2 148 900</w:t>
            </w: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</w:tr>
      <w:tr w:rsidR="0072196A" w:rsidTr="0072196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celkem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6A" w:rsidRDefault="0072196A">
            <w:pPr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+ 131 200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  <w:r>
              <w:rPr>
                <w:sz w:val="14"/>
                <w:szCs w:val="14"/>
              </w:rPr>
              <w:t>+ 131 200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6A" w:rsidRDefault="0072196A">
            <w:pPr>
              <w:jc w:val="right"/>
              <w:rPr>
                <w:rFonts w:eastAsiaTheme="minorHAnsi"/>
                <w:sz w:val="14"/>
                <w:szCs w:val="14"/>
              </w:rPr>
            </w:pPr>
          </w:p>
        </w:tc>
      </w:tr>
    </w:tbl>
    <w:p w:rsidR="00E87844" w:rsidRPr="004855E3" w:rsidRDefault="004855E3" w:rsidP="00E87844">
      <w:pPr>
        <w:tabs>
          <w:tab w:val="left" w:pos="4840"/>
        </w:tabs>
        <w:rPr>
          <w:sz w:val="20"/>
          <w:szCs w:val="20"/>
        </w:rPr>
      </w:pPr>
      <w:r w:rsidRPr="004855E3">
        <w:rPr>
          <w:sz w:val="20"/>
          <w:szCs w:val="20"/>
        </w:rPr>
        <w:t xml:space="preserve">Rada obce schválila </w:t>
      </w:r>
      <w:proofErr w:type="gramStart"/>
      <w:r w:rsidRPr="004855E3">
        <w:rPr>
          <w:sz w:val="20"/>
          <w:szCs w:val="20"/>
        </w:rPr>
        <w:t>dne : 23</w:t>
      </w:r>
      <w:proofErr w:type="gramEnd"/>
      <w:r w:rsidRPr="004855E3">
        <w:rPr>
          <w:sz w:val="20"/>
          <w:szCs w:val="20"/>
        </w:rPr>
        <w:t>. 5. 2012,</w:t>
      </w:r>
      <w:r w:rsidR="0072196A" w:rsidRPr="004855E3">
        <w:rPr>
          <w:sz w:val="20"/>
          <w:szCs w:val="20"/>
        </w:rPr>
        <w:t>usnesení</w:t>
      </w:r>
      <w:r w:rsidRPr="004855E3">
        <w:rPr>
          <w:sz w:val="20"/>
          <w:szCs w:val="20"/>
        </w:rPr>
        <w:t>m</w:t>
      </w:r>
      <w:r w:rsidR="0072196A" w:rsidRPr="004855E3">
        <w:rPr>
          <w:sz w:val="20"/>
          <w:szCs w:val="20"/>
        </w:rPr>
        <w:t xml:space="preserve"> č.</w:t>
      </w:r>
      <w:r w:rsidR="00994D75" w:rsidRPr="004855E3">
        <w:rPr>
          <w:sz w:val="20"/>
          <w:szCs w:val="20"/>
        </w:rPr>
        <w:t xml:space="preserve"> 2</w:t>
      </w:r>
      <w:r w:rsidR="003C4AB8" w:rsidRPr="004855E3">
        <w:rPr>
          <w:sz w:val="20"/>
          <w:szCs w:val="20"/>
        </w:rPr>
        <w:tab/>
      </w:r>
    </w:p>
    <w:p w:rsidR="0072196A" w:rsidRPr="004855E3" w:rsidRDefault="0072196A" w:rsidP="0072196A">
      <w:pPr>
        <w:ind w:left="180" w:hanging="180"/>
        <w:jc w:val="both"/>
        <w:rPr>
          <w:sz w:val="20"/>
          <w:szCs w:val="20"/>
        </w:rPr>
      </w:pPr>
    </w:p>
    <w:p w:rsidR="0072196A" w:rsidRPr="004855E3" w:rsidRDefault="0072196A" w:rsidP="0072196A">
      <w:pPr>
        <w:ind w:left="180" w:hanging="180"/>
        <w:jc w:val="both"/>
        <w:rPr>
          <w:sz w:val="20"/>
          <w:szCs w:val="20"/>
        </w:rPr>
      </w:pPr>
      <w:r w:rsidRPr="004855E3">
        <w:rPr>
          <w:sz w:val="20"/>
          <w:szCs w:val="20"/>
        </w:rPr>
        <w:t>Příjmy - daňové + nedaňové + kapitálové ………………………</w:t>
      </w:r>
      <w:proofErr w:type="gramStart"/>
      <w:r w:rsidRPr="004855E3">
        <w:rPr>
          <w:sz w:val="20"/>
          <w:szCs w:val="20"/>
        </w:rPr>
        <w:t xml:space="preserve">…..   </w:t>
      </w:r>
      <w:r w:rsidR="004855E3">
        <w:rPr>
          <w:sz w:val="20"/>
          <w:szCs w:val="20"/>
        </w:rPr>
        <w:t xml:space="preserve">  </w:t>
      </w:r>
      <w:r w:rsidRPr="004855E3">
        <w:rPr>
          <w:sz w:val="20"/>
          <w:szCs w:val="20"/>
        </w:rPr>
        <w:t>12 737 200,-</w:t>
      </w:r>
      <w:proofErr w:type="gramEnd"/>
      <w:r w:rsidRPr="004855E3">
        <w:rPr>
          <w:sz w:val="20"/>
          <w:szCs w:val="20"/>
        </w:rPr>
        <w:t>- Kč</w:t>
      </w:r>
    </w:p>
    <w:p w:rsidR="0072196A" w:rsidRPr="004855E3" w:rsidRDefault="0072196A" w:rsidP="0072196A">
      <w:pPr>
        <w:ind w:left="180" w:hanging="180"/>
        <w:jc w:val="both"/>
        <w:rPr>
          <w:sz w:val="20"/>
          <w:szCs w:val="20"/>
        </w:rPr>
      </w:pPr>
      <w:r w:rsidRPr="004855E3">
        <w:rPr>
          <w:sz w:val="20"/>
          <w:szCs w:val="20"/>
        </w:rPr>
        <w:t>Financování (</w:t>
      </w:r>
      <w:proofErr w:type="spellStart"/>
      <w:proofErr w:type="gramStart"/>
      <w:r w:rsidRPr="004855E3">
        <w:rPr>
          <w:sz w:val="20"/>
          <w:szCs w:val="20"/>
        </w:rPr>
        <w:t>pol.8115</w:t>
      </w:r>
      <w:proofErr w:type="spellEnd"/>
      <w:proofErr w:type="gramEnd"/>
      <w:r w:rsidRPr="004855E3">
        <w:rPr>
          <w:sz w:val="20"/>
          <w:szCs w:val="20"/>
        </w:rPr>
        <w:t xml:space="preserve">-přebytek hospodaření z roku 2011)………..     </w:t>
      </w:r>
      <w:r w:rsidR="004855E3">
        <w:rPr>
          <w:sz w:val="20"/>
          <w:szCs w:val="20"/>
        </w:rPr>
        <w:t xml:space="preserve">   </w:t>
      </w:r>
      <w:r w:rsidRPr="004855E3">
        <w:rPr>
          <w:sz w:val="20"/>
          <w:szCs w:val="20"/>
        </w:rPr>
        <w:t xml:space="preserve">4 500 000,-- Kč      </w:t>
      </w:r>
    </w:p>
    <w:p w:rsidR="0072196A" w:rsidRPr="004855E3" w:rsidRDefault="0072196A" w:rsidP="0072196A">
      <w:pPr>
        <w:ind w:left="180" w:hanging="180"/>
        <w:jc w:val="both"/>
        <w:rPr>
          <w:b/>
          <w:sz w:val="20"/>
          <w:szCs w:val="20"/>
        </w:rPr>
      </w:pPr>
      <w:r w:rsidRPr="004855E3">
        <w:rPr>
          <w:sz w:val="20"/>
          <w:szCs w:val="20"/>
        </w:rPr>
        <w:t xml:space="preserve">Příjmy celkem…………………………………………………………    </w:t>
      </w:r>
      <w:r w:rsidRPr="004855E3">
        <w:rPr>
          <w:b/>
          <w:sz w:val="20"/>
          <w:szCs w:val="20"/>
        </w:rPr>
        <w:t>17 237 200,-- Kč</w:t>
      </w:r>
    </w:p>
    <w:p w:rsidR="0072196A" w:rsidRPr="004855E3" w:rsidRDefault="0072196A" w:rsidP="0072196A">
      <w:pPr>
        <w:ind w:left="180" w:hanging="180"/>
        <w:jc w:val="both"/>
        <w:rPr>
          <w:b/>
          <w:sz w:val="20"/>
          <w:szCs w:val="20"/>
        </w:rPr>
      </w:pPr>
    </w:p>
    <w:p w:rsidR="0072196A" w:rsidRPr="004855E3" w:rsidRDefault="0072196A" w:rsidP="0072196A">
      <w:pPr>
        <w:ind w:left="180" w:hanging="180"/>
        <w:jc w:val="both"/>
        <w:rPr>
          <w:sz w:val="20"/>
          <w:szCs w:val="20"/>
        </w:rPr>
      </w:pPr>
      <w:r w:rsidRPr="004855E3">
        <w:rPr>
          <w:sz w:val="20"/>
          <w:szCs w:val="20"/>
        </w:rPr>
        <w:t xml:space="preserve">Výdaje - běžné + kapitálové …………………………………………. </w:t>
      </w:r>
      <w:r w:rsidR="004855E3">
        <w:rPr>
          <w:sz w:val="20"/>
          <w:szCs w:val="20"/>
        </w:rPr>
        <w:t xml:space="preserve">  </w:t>
      </w:r>
      <w:r w:rsidRPr="004855E3">
        <w:rPr>
          <w:sz w:val="20"/>
          <w:szCs w:val="20"/>
        </w:rPr>
        <w:t>16 690 700,-- Kč</w:t>
      </w:r>
    </w:p>
    <w:p w:rsidR="0072196A" w:rsidRPr="004855E3" w:rsidRDefault="0072196A" w:rsidP="0072196A">
      <w:pPr>
        <w:ind w:left="180" w:hanging="180"/>
        <w:jc w:val="both"/>
        <w:rPr>
          <w:sz w:val="20"/>
          <w:szCs w:val="20"/>
        </w:rPr>
      </w:pPr>
      <w:r w:rsidRPr="004855E3">
        <w:rPr>
          <w:sz w:val="20"/>
          <w:szCs w:val="20"/>
        </w:rPr>
        <w:t>Financování –</w:t>
      </w:r>
      <w:proofErr w:type="spellStart"/>
      <w:r w:rsidRPr="004855E3">
        <w:rPr>
          <w:sz w:val="20"/>
          <w:szCs w:val="20"/>
        </w:rPr>
        <w:t>pol.8124</w:t>
      </w:r>
      <w:proofErr w:type="spellEnd"/>
      <w:r w:rsidRPr="004855E3">
        <w:rPr>
          <w:sz w:val="20"/>
          <w:szCs w:val="20"/>
        </w:rPr>
        <w:t xml:space="preserve">-splátka </w:t>
      </w:r>
      <w:proofErr w:type="gramStart"/>
      <w:r w:rsidRPr="004855E3">
        <w:rPr>
          <w:sz w:val="20"/>
          <w:szCs w:val="20"/>
        </w:rPr>
        <w:t>úvěru    …</w:t>
      </w:r>
      <w:proofErr w:type="gramEnd"/>
      <w:r w:rsidRPr="004855E3">
        <w:rPr>
          <w:sz w:val="20"/>
          <w:szCs w:val="20"/>
        </w:rPr>
        <w:t xml:space="preserve">…………………………..       </w:t>
      </w:r>
      <w:r w:rsidR="004855E3">
        <w:rPr>
          <w:sz w:val="20"/>
          <w:szCs w:val="20"/>
        </w:rPr>
        <w:t xml:space="preserve">  </w:t>
      </w:r>
      <w:r w:rsidRPr="004855E3">
        <w:rPr>
          <w:sz w:val="20"/>
          <w:szCs w:val="20"/>
        </w:rPr>
        <w:t xml:space="preserve">546 500,-- Kč </w:t>
      </w:r>
    </w:p>
    <w:p w:rsidR="0072196A" w:rsidRPr="004855E3" w:rsidRDefault="0072196A" w:rsidP="0072196A">
      <w:pPr>
        <w:ind w:left="180" w:hanging="180"/>
        <w:jc w:val="both"/>
        <w:rPr>
          <w:b/>
          <w:sz w:val="20"/>
          <w:szCs w:val="20"/>
        </w:rPr>
      </w:pPr>
      <w:r w:rsidRPr="004855E3">
        <w:rPr>
          <w:sz w:val="20"/>
          <w:szCs w:val="20"/>
        </w:rPr>
        <w:t xml:space="preserve">Výdaje celkem…………………………………………………………  </w:t>
      </w:r>
      <w:r w:rsidRPr="004855E3">
        <w:rPr>
          <w:b/>
          <w:sz w:val="20"/>
          <w:szCs w:val="20"/>
        </w:rPr>
        <w:t>17 237 200,-- Kč</w:t>
      </w:r>
    </w:p>
    <w:p w:rsidR="0072196A" w:rsidRPr="004855E3" w:rsidRDefault="0072196A" w:rsidP="0072196A">
      <w:pPr>
        <w:rPr>
          <w:sz w:val="20"/>
          <w:szCs w:val="20"/>
        </w:rPr>
      </w:pPr>
    </w:p>
    <w:p w:rsidR="0072196A" w:rsidRPr="004855E3" w:rsidRDefault="0072196A" w:rsidP="0072196A">
      <w:pPr>
        <w:rPr>
          <w:sz w:val="20"/>
          <w:szCs w:val="20"/>
        </w:rPr>
      </w:pPr>
      <w:r w:rsidRPr="004855E3">
        <w:rPr>
          <w:sz w:val="20"/>
          <w:szCs w:val="20"/>
        </w:rPr>
        <w:t xml:space="preserve">Rozpočet je i po tomto </w:t>
      </w:r>
      <w:proofErr w:type="spellStart"/>
      <w:r w:rsidRPr="004855E3">
        <w:rPr>
          <w:sz w:val="20"/>
          <w:szCs w:val="20"/>
        </w:rPr>
        <w:t>rozp</w:t>
      </w:r>
      <w:proofErr w:type="spellEnd"/>
      <w:r w:rsidRPr="004855E3">
        <w:rPr>
          <w:sz w:val="20"/>
          <w:szCs w:val="20"/>
        </w:rPr>
        <w:t xml:space="preserve">. opatření schodkový. Příjmy + </w:t>
      </w:r>
      <w:proofErr w:type="gramStart"/>
      <w:r w:rsidRPr="004855E3">
        <w:rPr>
          <w:sz w:val="20"/>
          <w:szCs w:val="20"/>
        </w:rPr>
        <w:t>financování =  výdaje</w:t>
      </w:r>
      <w:proofErr w:type="gramEnd"/>
      <w:r w:rsidRPr="004855E3">
        <w:rPr>
          <w:sz w:val="20"/>
          <w:szCs w:val="20"/>
        </w:rPr>
        <w:t xml:space="preserve"> + financování.</w:t>
      </w:r>
    </w:p>
    <w:p w:rsidR="00B931DE" w:rsidRPr="004855E3" w:rsidRDefault="00963D21">
      <w:pPr>
        <w:rPr>
          <w:sz w:val="20"/>
          <w:szCs w:val="20"/>
        </w:rPr>
      </w:pPr>
      <w:r w:rsidRPr="004855E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963D21" w:rsidRPr="004855E3" w:rsidRDefault="00963D21">
      <w:pPr>
        <w:rPr>
          <w:sz w:val="20"/>
          <w:szCs w:val="20"/>
        </w:rPr>
      </w:pPr>
    </w:p>
    <w:p w:rsidR="00963D21" w:rsidRPr="004855E3" w:rsidRDefault="00963D21" w:rsidP="00D820C2">
      <w:pPr>
        <w:jc w:val="both"/>
        <w:rPr>
          <w:sz w:val="20"/>
          <w:szCs w:val="20"/>
        </w:rPr>
      </w:pPr>
      <w:proofErr w:type="spellStart"/>
      <w:r w:rsidRPr="004855E3">
        <w:rPr>
          <w:sz w:val="20"/>
          <w:szCs w:val="20"/>
        </w:rPr>
        <w:t>FV</w:t>
      </w:r>
      <w:proofErr w:type="spellEnd"/>
      <w:r w:rsidRPr="004855E3">
        <w:rPr>
          <w:sz w:val="20"/>
          <w:szCs w:val="20"/>
        </w:rPr>
        <w:t xml:space="preserve"> připravil a </w:t>
      </w:r>
      <w:proofErr w:type="spellStart"/>
      <w:r w:rsidRPr="004855E3">
        <w:rPr>
          <w:sz w:val="20"/>
          <w:szCs w:val="20"/>
        </w:rPr>
        <w:t>předkl</w:t>
      </w:r>
      <w:r w:rsidR="004F4830">
        <w:rPr>
          <w:sz w:val="20"/>
          <w:szCs w:val="20"/>
        </w:rPr>
        <w:t>ožil</w:t>
      </w:r>
      <w:proofErr w:type="spellEnd"/>
      <w:r w:rsidRPr="004855E3">
        <w:rPr>
          <w:sz w:val="20"/>
          <w:szCs w:val="20"/>
        </w:rPr>
        <w:t xml:space="preserve"> </w:t>
      </w:r>
      <w:proofErr w:type="spellStart"/>
      <w:r w:rsidRPr="004855E3">
        <w:rPr>
          <w:sz w:val="20"/>
          <w:szCs w:val="20"/>
        </w:rPr>
        <w:t>ZO</w:t>
      </w:r>
      <w:proofErr w:type="spellEnd"/>
      <w:r w:rsidRPr="004855E3">
        <w:rPr>
          <w:sz w:val="20"/>
          <w:szCs w:val="20"/>
        </w:rPr>
        <w:t xml:space="preserve"> na vědomí aktualizaci Rozpočtového výhledu obce na roky 2013-2015. Rozpočtový výhled byl doložen jako jedna z nutných příloh k žádosti o dotaci na stavbu kanalizace ve starých </w:t>
      </w:r>
      <w:proofErr w:type="spellStart"/>
      <w:r w:rsidRPr="004855E3">
        <w:rPr>
          <w:sz w:val="20"/>
          <w:szCs w:val="20"/>
        </w:rPr>
        <w:t>Popůvkách</w:t>
      </w:r>
      <w:proofErr w:type="spellEnd"/>
      <w:r w:rsidRPr="004855E3">
        <w:rPr>
          <w:sz w:val="20"/>
          <w:szCs w:val="20"/>
        </w:rPr>
        <w:t xml:space="preserve">. O dotaci za naši obec žádá DSO </w:t>
      </w:r>
      <w:proofErr w:type="spellStart"/>
      <w:r w:rsidRPr="004855E3">
        <w:rPr>
          <w:sz w:val="20"/>
          <w:szCs w:val="20"/>
        </w:rPr>
        <w:t>VaK</w:t>
      </w:r>
      <w:proofErr w:type="spellEnd"/>
      <w:r w:rsidRPr="004855E3">
        <w:rPr>
          <w:sz w:val="20"/>
          <w:szCs w:val="20"/>
        </w:rPr>
        <w:t xml:space="preserve"> Ivančice, jehož jsme členy.</w:t>
      </w:r>
    </w:p>
    <w:p w:rsidR="00963D21" w:rsidRPr="004855E3" w:rsidRDefault="00963D21" w:rsidP="00D820C2">
      <w:pPr>
        <w:jc w:val="both"/>
        <w:rPr>
          <w:sz w:val="20"/>
          <w:szCs w:val="20"/>
        </w:rPr>
      </w:pPr>
      <w:r w:rsidRPr="004855E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963D21" w:rsidRPr="004855E3" w:rsidRDefault="00D820C2" w:rsidP="00D820C2">
      <w:pPr>
        <w:jc w:val="both"/>
        <w:rPr>
          <w:sz w:val="20"/>
          <w:szCs w:val="20"/>
        </w:rPr>
      </w:pPr>
      <w:r w:rsidRPr="004855E3">
        <w:rPr>
          <w:sz w:val="20"/>
          <w:szCs w:val="20"/>
        </w:rPr>
        <w:t>Ve dnech od 14.</w:t>
      </w:r>
      <w:r w:rsidR="004855E3" w:rsidRPr="004855E3">
        <w:rPr>
          <w:sz w:val="20"/>
          <w:szCs w:val="20"/>
        </w:rPr>
        <w:t xml:space="preserve"> </w:t>
      </w:r>
      <w:r w:rsidRPr="004855E3">
        <w:rPr>
          <w:sz w:val="20"/>
          <w:szCs w:val="20"/>
        </w:rPr>
        <w:t>5. do 3.</w:t>
      </w:r>
      <w:r w:rsidR="004855E3" w:rsidRPr="004855E3">
        <w:rPr>
          <w:sz w:val="20"/>
          <w:szCs w:val="20"/>
        </w:rPr>
        <w:t xml:space="preserve"> </w:t>
      </w:r>
      <w:r w:rsidRPr="004855E3">
        <w:rPr>
          <w:sz w:val="20"/>
          <w:szCs w:val="20"/>
        </w:rPr>
        <w:t>6.</w:t>
      </w:r>
      <w:r w:rsidR="004855E3" w:rsidRPr="004855E3">
        <w:rPr>
          <w:sz w:val="20"/>
          <w:szCs w:val="20"/>
        </w:rPr>
        <w:t xml:space="preserve"> </w:t>
      </w:r>
      <w:r w:rsidRPr="004855E3">
        <w:rPr>
          <w:sz w:val="20"/>
          <w:szCs w:val="20"/>
        </w:rPr>
        <w:t xml:space="preserve">2012 </w:t>
      </w:r>
      <w:proofErr w:type="spellStart"/>
      <w:r w:rsidRPr="004855E3">
        <w:rPr>
          <w:sz w:val="20"/>
          <w:szCs w:val="20"/>
        </w:rPr>
        <w:t>FV</w:t>
      </w:r>
      <w:proofErr w:type="spellEnd"/>
      <w:r w:rsidRPr="004855E3">
        <w:rPr>
          <w:sz w:val="20"/>
          <w:szCs w:val="20"/>
        </w:rPr>
        <w:t xml:space="preserve"> provedl kontrolu hospodaření a účetnictví naší školy a školky za období 10-12/2011 a 1-3/2012. Pan ředitel předložil všechny požadované účetní knihy, výkazy za kontrolované období, banku (výpisy), pokladnu a směrnice. Z kontrol je vypracován Protokol a Zápis, ty</w:t>
      </w:r>
      <w:r w:rsidR="004855E3" w:rsidRPr="004855E3">
        <w:rPr>
          <w:sz w:val="20"/>
          <w:szCs w:val="20"/>
        </w:rPr>
        <w:t xml:space="preserve">to jsou uloženy v kanceláři OÚ. </w:t>
      </w:r>
      <w:r w:rsidRPr="004855E3">
        <w:rPr>
          <w:sz w:val="20"/>
          <w:szCs w:val="20"/>
        </w:rPr>
        <w:t>Kontrol</w:t>
      </w:r>
      <w:r w:rsidR="004855E3" w:rsidRPr="004855E3">
        <w:rPr>
          <w:sz w:val="20"/>
          <w:szCs w:val="20"/>
        </w:rPr>
        <w:t>o</w:t>
      </w:r>
      <w:r w:rsidRPr="004855E3">
        <w:rPr>
          <w:sz w:val="20"/>
          <w:szCs w:val="20"/>
        </w:rPr>
        <w:t>u hospodaření nebylo zjištěno žádné porušení rozpočtové kázně, organizaci nebyl nařízen žádný odvod či penále do rozpočtu zřizovatele (obce)</w:t>
      </w:r>
      <w:r w:rsidR="004855E3" w:rsidRPr="004855E3">
        <w:rPr>
          <w:sz w:val="20"/>
          <w:szCs w:val="20"/>
        </w:rPr>
        <w:t xml:space="preserve">. Zlepšený výsledek </w:t>
      </w:r>
      <w:r w:rsidRPr="004855E3">
        <w:rPr>
          <w:sz w:val="20"/>
          <w:szCs w:val="20"/>
        </w:rPr>
        <w:t>hospodaření za rok 2011 ve výši 119.375,95 Kč byl ve schvalovacím řízení radou obce rozdělen takto:</w:t>
      </w:r>
    </w:p>
    <w:p w:rsidR="00D820C2" w:rsidRPr="004855E3" w:rsidRDefault="00D820C2" w:rsidP="00D820C2">
      <w:pPr>
        <w:tabs>
          <w:tab w:val="left" w:pos="2860"/>
        </w:tabs>
        <w:jc w:val="both"/>
        <w:rPr>
          <w:sz w:val="20"/>
          <w:szCs w:val="20"/>
        </w:rPr>
      </w:pPr>
      <w:r w:rsidRPr="004855E3">
        <w:rPr>
          <w:sz w:val="20"/>
          <w:szCs w:val="20"/>
        </w:rPr>
        <w:t xml:space="preserve">-fond odměn </w:t>
      </w:r>
      <w:r w:rsidRPr="004855E3">
        <w:rPr>
          <w:sz w:val="20"/>
          <w:szCs w:val="20"/>
        </w:rPr>
        <w:tab/>
        <w:t>50.000,--Kč</w:t>
      </w:r>
    </w:p>
    <w:p w:rsidR="00D820C2" w:rsidRPr="004855E3" w:rsidRDefault="00D820C2" w:rsidP="00D820C2">
      <w:pPr>
        <w:tabs>
          <w:tab w:val="left" w:pos="2860"/>
        </w:tabs>
        <w:jc w:val="both"/>
        <w:rPr>
          <w:sz w:val="20"/>
          <w:szCs w:val="20"/>
        </w:rPr>
      </w:pPr>
      <w:r w:rsidRPr="004855E3">
        <w:rPr>
          <w:sz w:val="20"/>
          <w:szCs w:val="20"/>
        </w:rPr>
        <w:t>-rezervní fond</w:t>
      </w:r>
      <w:r w:rsidRPr="004855E3">
        <w:rPr>
          <w:sz w:val="20"/>
          <w:szCs w:val="20"/>
        </w:rPr>
        <w:tab/>
        <w:t>69.375,95 Kč</w:t>
      </w:r>
    </w:p>
    <w:p w:rsidR="00B63800" w:rsidRPr="004855E3" w:rsidRDefault="00D820C2" w:rsidP="00D820C2">
      <w:pPr>
        <w:tabs>
          <w:tab w:val="left" w:pos="2860"/>
        </w:tabs>
        <w:jc w:val="both"/>
        <w:rPr>
          <w:sz w:val="20"/>
          <w:szCs w:val="20"/>
        </w:rPr>
      </w:pPr>
      <w:r w:rsidRPr="004855E3">
        <w:rPr>
          <w:sz w:val="20"/>
          <w:szCs w:val="20"/>
        </w:rPr>
        <w:t>Schválila rada obce dne 7.</w:t>
      </w:r>
      <w:r w:rsidR="004855E3" w:rsidRPr="004855E3">
        <w:rPr>
          <w:sz w:val="20"/>
          <w:szCs w:val="20"/>
        </w:rPr>
        <w:t xml:space="preserve"> </w:t>
      </w:r>
      <w:r w:rsidRPr="004855E3">
        <w:rPr>
          <w:sz w:val="20"/>
          <w:szCs w:val="20"/>
        </w:rPr>
        <w:t>3.</w:t>
      </w:r>
      <w:r w:rsidR="004855E3" w:rsidRPr="004855E3">
        <w:rPr>
          <w:sz w:val="20"/>
          <w:szCs w:val="20"/>
        </w:rPr>
        <w:t xml:space="preserve"> </w:t>
      </w:r>
      <w:r w:rsidRPr="004855E3">
        <w:rPr>
          <w:sz w:val="20"/>
          <w:szCs w:val="20"/>
        </w:rPr>
        <w:t>2012 usnesením č. 2</w:t>
      </w:r>
    </w:p>
    <w:p w:rsidR="00D820C2" w:rsidRPr="004855E3" w:rsidRDefault="00B63800" w:rsidP="00D820C2">
      <w:pPr>
        <w:tabs>
          <w:tab w:val="left" w:pos="2860"/>
        </w:tabs>
        <w:jc w:val="both"/>
        <w:rPr>
          <w:sz w:val="20"/>
          <w:szCs w:val="20"/>
        </w:rPr>
      </w:pPr>
      <w:r w:rsidRPr="004855E3">
        <w:rPr>
          <w:sz w:val="20"/>
          <w:szCs w:val="20"/>
        </w:rPr>
        <w:t>Škola začala v těchto dnech čerpat dotaci z </w:t>
      </w:r>
      <w:proofErr w:type="spellStart"/>
      <w:proofErr w:type="gramStart"/>
      <w:r w:rsidRPr="004855E3">
        <w:rPr>
          <w:sz w:val="20"/>
          <w:szCs w:val="20"/>
        </w:rPr>
        <w:t>OP</w:t>
      </w:r>
      <w:proofErr w:type="spellEnd"/>
      <w:proofErr w:type="gramEnd"/>
      <w:r w:rsidRPr="004855E3">
        <w:rPr>
          <w:sz w:val="20"/>
          <w:szCs w:val="20"/>
        </w:rPr>
        <w:t xml:space="preserve"> </w:t>
      </w:r>
      <w:proofErr w:type="spellStart"/>
      <w:r w:rsidRPr="004855E3">
        <w:rPr>
          <w:sz w:val="20"/>
          <w:szCs w:val="20"/>
        </w:rPr>
        <w:t>VK</w:t>
      </w:r>
      <w:proofErr w:type="spellEnd"/>
      <w:r w:rsidRPr="004855E3">
        <w:rPr>
          <w:sz w:val="20"/>
          <w:szCs w:val="20"/>
        </w:rPr>
        <w:t xml:space="preserve"> (Operační program Vzdělávání pro konkurenceschopnost), kterou obdržela jako zálohu v roce 2011 a 2012. čerpání této dotace budeme pečlivě sledovat nejen po stránce účetní, dozorovat ji bude i kontrolní výbor obce.</w:t>
      </w:r>
    </w:p>
    <w:p w:rsidR="00B63800" w:rsidRPr="004855E3" w:rsidRDefault="00B63800" w:rsidP="00D820C2">
      <w:pPr>
        <w:tabs>
          <w:tab w:val="left" w:pos="2860"/>
        </w:tabs>
        <w:jc w:val="both"/>
        <w:rPr>
          <w:sz w:val="20"/>
          <w:szCs w:val="20"/>
        </w:rPr>
      </w:pPr>
      <w:r w:rsidRPr="004855E3">
        <w:rPr>
          <w:sz w:val="20"/>
          <w:szCs w:val="20"/>
        </w:rPr>
        <w:t>Provedli jsme také kontrolu plnění „rozpočtu“ školy za I.</w:t>
      </w:r>
      <w:r w:rsidR="004855E3" w:rsidRPr="004855E3">
        <w:rPr>
          <w:sz w:val="20"/>
          <w:szCs w:val="20"/>
        </w:rPr>
        <w:t xml:space="preserve"> </w:t>
      </w:r>
      <w:r w:rsidRPr="004855E3">
        <w:rPr>
          <w:sz w:val="20"/>
          <w:szCs w:val="20"/>
        </w:rPr>
        <w:t>Q roku 2012 (k 31.</w:t>
      </w:r>
      <w:r w:rsidR="004855E3">
        <w:rPr>
          <w:sz w:val="20"/>
          <w:szCs w:val="20"/>
        </w:rPr>
        <w:t xml:space="preserve"> </w:t>
      </w:r>
      <w:r w:rsidRPr="004855E3">
        <w:rPr>
          <w:sz w:val="20"/>
          <w:szCs w:val="20"/>
        </w:rPr>
        <w:t>3.</w:t>
      </w:r>
      <w:r w:rsidR="004855E3">
        <w:rPr>
          <w:sz w:val="20"/>
          <w:szCs w:val="20"/>
        </w:rPr>
        <w:t xml:space="preserve"> </w:t>
      </w:r>
      <w:r w:rsidRPr="004855E3">
        <w:rPr>
          <w:sz w:val="20"/>
          <w:szCs w:val="20"/>
        </w:rPr>
        <w:t>2012):</w:t>
      </w:r>
    </w:p>
    <w:p w:rsidR="00B63800" w:rsidRPr="004855E3" w:rsidRDefault="00B63800" w:rsidP="00D820C2">
      <w:pPr>
        <w:tabs>
          <w:tab w:val="left" w:pos="2860"/>
        </w:tabs>
        <w:jc w:val="both"/>
        <w:rPr>
          <w:sz w:val="20"/>
          <w:szCs w:val="20"/>
        </w:rPr>
      </w:pPr>
    </w:p>
    <w:tbl>
      <w:tblPr>
        <w:tblW w:w="1074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5159"/>
        <w:gridCol w:w="161"/>
        <w:gridCol w:w="1235"/>
        <w:gridCol w:w="160"/>
        <w:gridCol w:w="1160"/>
        <w:gridCol w:w="160"/>
        <w:gridCol w:w="160"/>
        <w:gridCol w:w="866"/>
        <w:gridCol w:w="14"/>
        <w:gridCol w:w="160"/>
        <w:gridCol w:w="839"/>
        <w:gridCol w:w="14"/>
        <w:gridCol w:w="160"/>
      </w:tblGrid>
      <w:tr w:rsidR="00B63800" w:rsidRPr="00B63800" w:rsidTr="00B63800">
        <w:trPr>
          <w:gridAfter w:val="1"/>
          <w:wAfter w:w="160" w:type="dxa"/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Výsledek hospodaření školy a školky k </w:t>
            </w:r>
            <w:proofErr w:type="gramStart"/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31.3.2012</w:t>
            </w:r>
            <w:proofErr w:type="gramEnd"/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rFonts w:ascii="Calibri" w:hAnsi="Calibri"/>
                <w:color w:val="000000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855E3">
              <w:rPr>
                <w:color w:val="000000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63800">
              <w:rPr>
                <w:color w:val="000000"/>
                <w:sz w:val="18"/>
                <w:szCs w:val="18"/>
              </w:rPr>
              <w:t>5xx</w:t>
            </w:r>
            <w:proofErr w:type="spellEnd"/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náklady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641 501,98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tabs>
                <w:tab w:val="left" w:pos="1080"/>
              </w:tabs>
              <w:ind w:right="-230"/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63800">
              <w:rPr>
                <w:color w:val="000000"/>
                <w:sz w:val="18"/>
                <w:szCs w:val="18"/>
              </w:rPr>
              <w:t>6xx</w:t>
            </w:r>
            <w:proofErr w:type="spellEnd"/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výnosy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808 952,99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55E3">
              <w:rPr>
                <w:b/>
                <w:bCs/>
                <w:color w:val="000000"/>
                <w:sz w:val="20"/>
                <w:szCs w:val="20"/>
              </w:rPr>
              <w:t>výsledek hospodaření před zdaněním (zisk)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3800">
              <w:rPr>
                <w:b/>
                <w:bCs/>
                <w:color w:val="000000"/>
                <w:sz w:val="18"/>
                <w:szCs w:val="18"/>
              </w:rPr>
              <w:t>198 451,01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55E3">
              <w:rPr>
                <w:b/>
                <w:bCs/>
                <w:color w:val="000000"/>
                <w:sz w:val="20"/>
                <w:szCs w:val="20"/>
              </w:rPr>
              <w:t>Přehled hospodaření a čerpání rozpočtu naší školské PO k 31. 3. 2012: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6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855E3">
              <w:rPr>
                <w:color w:val="000000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náklady: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rozpočet 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ÚSC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rozpočet 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MŠMT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00" w:rsidRPr="00B63800" w:rsidRDefault="00B63800" w:rsidP="00B63800">
            <w:pPr>
              <w:rPr>
                <w:color w:val="000000"/>
                <w:sz w:val="16"/>
                <w:szCs w:val="16"/>
              </w:rPr>
            </w:pPr>
            <w:r w:rsidRPr="00B63800">
              <w:rPr>
                <w:color w:val="000000"/>
                <w:sz w:val="16"/>
                <w:szCs w:val="16"/>
              </w:rPr>
              <w:t xml:space="preserve">% plnění </w:t>
            </w:r>
            <w:proofErr w:type="spellStart"/>
            <w:r w:rsidRPr="00B63800">
              <w:rPr>
                <w:color w:val="000000"/>
                <w:sz w:val="16"/>
                <w:szCs w:val="16"/>
              </w:rPr>
              <w:t>ÚSC</w:t>
            </w:r>
            <w:proofErr w:type="spellEnd"/>
            <w:r w:rsidRPr="00B63800">
              <w:rPr>
                <w:color w:val="000000"/>
                <w:sz w:val="16"/>
                <w:szCs w:val="16"/>
              </w:rPr>
              <w:t>+</w:t>
            </w:r>
            <w:proofErr w:type="spellStart"/>
            <w:r w:rsidRPr="00B63800">
              <w:rPr>
                <w:color w:val="000000"/>
                <w:sz w:val="16"/>
                <w:szCs w:val="16"/>
              </w:rPr>
              <w:t>MŠMT</w:t>
            </w:r>
            <w:proofErr w:type="spellEnd"/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materiál (knihy, učebnice, </w:t>
            </w:r>
            <w:proofErr w:type="gramStart"/>
            <w:r w:rsidRPr="00B63800">
              <w:rPr>
                <w:color w:val="000000"/>
                <w:sz w:val="18"/>
                <w:szCs w:val="18"/>
              </w:rPr>
              <w:t>čistící</w:t>
            </w:r>
            <w:proofErr w:type="gramEnd"/>
            <w:r w:rsidRPr="00B63800">
              <w:rPr>
                <w:color w:val="000000"/>
                <w:sz w:val="18"/>
                <w:szCs w:val="18"/>
              </w:rPr>
              <w:t xml:space="preserve"> prostředky, 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DDHM</w:t>
            </w:r>
            <w:proofErr w:type="spellEnd"/>
            <w:r w:rsidRPr="00B63800">
              <w:rPr>
                <w:color w:val="000000"/>
                <w:sz w:val="18"/>
                <w:szCs w:val="18"/>
              </w:rPr>
              <w:t>, oděvy,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atd</w:t>
            </w:r>
            <w:proofErr w:type="spellEnd"/>
            <w:r w:rsidRPr="00B63800">
              <w:rPr>
                <w:color w:val="000000"/>
                <w:sz w:val="18"/>
                <w:szCs w:val="18"/>
              </w:rPr>
              <w:t>…)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6 028,30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170 000,00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11 000,00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3,55%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energie (voda, elektřina, plyn)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170 000,00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opravy a údržba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2 020,00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6,73%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cestovné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0,00%</w:t>
            </w:r>
          </w:p>
        </w:tc>
      </w:tr>
      <w:tr w:rsidR="00B63800" w:rsidRPr="00B63800" w:rsidTr="00B63800">
        <w:trPr>
          <w:gridAfter w:val="1"/>
          <w:wAfter w:w="160" w:type="dxa"/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ostatní služby (zpracování účetnictví a mezd, </w:t>
            </w:r>
            <w:proofErr w:type="gramStart"/>
            <w:r w:rsidRPr="00B63800">
              <w:rPr>
                <w:color w:val="000000"/>
                <w:sz w:val="18"/>
                <w:szCs w:val="18"/>
              </w:rPr>
              <w:t>poštovné</w:t>
            </w:r>
            <w:proofErr w:type="gramEnd"/>
            <w:r w:rsidRPr="00B63800">
              <w:rPr>
                <w:color w:val="000000"/>
                <w:sz w:val="18"/>
                <w:szCs w:val="18"/>
              </w:rPr>
              <w:t>,</w:t>
            </w:r>
            <w:proofErr w:type="gramStart"/>
            <w:r w:rsidRPr="00B63800">
              <w:rPr>
                <w:color w:val="000000"/>
                <w:sz w:val="18"/>
                <w:szCs w:val="18"/>
              </w:rPr>
              <w:t>telefon</w:t>
            </w:r>
            <w:proofErr w:type="gramEnd"/>
            <w:r w:rsidRPr="00B63800">
              <w:rPr>
                <w:color w:val="000000"/>
                <w:sz w:val="18"/>
                <w:szCs w:val="18"/>
              </w:rPr>
              <w:t>,dovoz stravy, internet)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39 712,64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19,86%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mzdové náklady 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ÚSC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401 733,00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385 000,00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1 226 000,00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24,94%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3800">
              <w:rPr>
                <w:color w:val="000000"/>
                <w:sz w:val="18"/>
                <w:szCs w:val="18"/>
              </w:rPr>
              <w:t>soc</w:t>
            </w:r>
            <w:proofErr w:type="spellEnd"/>
            <w:r w:rsidRPr="00B63800">
              <w:rPr>
                <w:color w:val="000000"/>
                <w:sz w:val="18"/>
                <w:szCs w:val="18"/>
              </w:rPr>
              <w:t xml:space="preserve">. a 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zdr</w:t>
            </w:r>
            <w:proofErr w:type="spellEnd"/>
            <w:r w:rsidRPr="00B63800">
              <w:rPr>
                <w:color w:val="000000"/>
                <w:sz w:val="18"/>
                <w:szCs w:val="18"/>
              </w:rPr>
              <w:t xml:space="preserve">. pojištění 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ÚSC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135 131,00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417 000,00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30,92%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zákonné pojištění Kooperativa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1 717,00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63800">
              <w:rPr>
                <w:color w:val="000000"/>
                <w:sz w:val="18"/>
                <w:szCs w:val="18"/>
              </w:rPr>
              <w:t>FKSP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3 814,54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31,79%</w:t>
            </w:r>
          </w:p>
        </w:tc>
      </w:tr>
      <w:tr w:rsidR="00B63800" w:rsidRPr="00B63800" w:rsidTr="00B63800">
        <w:trPr>
          <w:gridAfter w:val="1"/>
          <w:wAfter w:w="160" w:type="dxa"/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jiné pokuty a penále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odpisy 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dlouhod.majetku</w:t>
            </w:r>
            <w:proofErr w:type="spellEnd"/>
            <w:r w:rsidRPr="00B63800">
              <w:rPr>
                <w:color w:val="000000"/>
                <w:sz w:val="18"/>
                <w:szCs w:val="18"/>
              </w:rPr>
              <w:t xml:space="preserve"> (dětské hřiště)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4 779,00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23,90%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ostatní náklady z činnosti (provozní,osobní a potrav. </w:t>
            </w:r>
            <w:proofErr w:type="gramStart"/>
            <w:r w:rsidRPr="00B63800">
              <w:rPr>
                <w:color w:val="000000"/>
                <w:sz w:val="18"/>
                <w:szCs w:val="18"/>
              </w:rPr>
              <w:t>náklady</w:t>
            </w:r>
            <w:proofErr w:type="gramEnd"/>
            <w:r w:rsidRPr="00B63800">
              <w:rPr>
                <w:color w:val="000000"/>
                <w:sz w:val="18"/>
                <w:szCs w:val="18"/>
              </w:rPr>
              <w:t>,poplatky)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15 343,00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111 000,00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13,82%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ostatní finanční náklady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223,50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0,00%</w:t>
            </w:r>
          </w:p>
        </w:tc>
      </w:tr>
      <w:tr w:rsidR="00B63800" w:rsidRPr="00B63800" w:rsidTr="00B63800">
        <w:trPr>
          <w:gridAfter w:val="1"/>
          <w:wAfter w:w="160" w:type="dxa"/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náklady celkem (</w:t>
            </w:r>
            <w:proofErr w:type="spellStart"/>
            <w:proofErr w:type="gramStart"/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tř.5</w:t>
            </w:r>
            <w:proofErr w:type="spellEnd"/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  <w:proofErr w:type="gramEnd"/>
            <w:r w:rsidRPr="004855E3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3800">
              <w:rPr>
                <w:b/>
                <w:bCs/>
                <w:color w:val="000000"/>
                <w:sz w:val="18"/>
                <w:szCs w:val="18"/>
              </w:rPr>
              <w:t>610 501,98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3800">
              <w:rPr>
                <w:b/>
                <w:bCs/>
                <w:color w:val="000000"/>
                <w:sz w:val="18"/>
                <w:szCs w:val="18"/>
              </w:rPr>
              <w:t>1 116 000,00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3800">
              <w:rPr>
                <w:b/>
                <w:bCs/>
                <w:color w:val="000000"/>
                <w:sz w:val="18"/>
                <w:szCs w:val="18"/>
              </w:rPr>
              <w:t>1 666 000,00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3800">
              <w:rPr>
                <w:b/>
                <w:bCs/>
                <w:color w:val="000000"/>
                <w:sz w:val="18"/>
                <w:szCs w:val="18"/>
              </w:rPr>
              <w:t>21,95%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6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855E3">
              <w:rPr>
                <w:color w:val="000000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výnosy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skutečnost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rozpočet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rozpočet 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MŠMT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00" w:rsidRPr="00B63800" w:rsidRDefault="00B63800" w:rsidP="00B63800">
            <w:pPr>
              <w:rPr>
                <w:color w:val="000000"/>
                <w:sz w:val="16"/>
                <w:szCs w:val="16"/>
              </w:rPr>
            </w:pPr>
            <w:r w:rsidRPr="00B63800">
              <w:rPr>
                <w:color w:val="000000"/>
                <w:sz w:val="16"/>
                <w:szCs w:val="16"/>
              </w:rPr>
              <w:t xml:space="preserve">% plnění </w:t>
            </w:r>
            <w:proofErr w:type="spellStart"/>
            <w:r w:rsidRPr="00B63800">
              <w:rPr>
                <w:color w:val="000000"/>
                <w:sz w:val="16"/>
                <w:szCs w:val="16"/>
              </w:rPr>
              <w:t>ÚSC</w:t>
            </w:r>
            <w:proofErr w:type="spellEnd"/>
            <w:r w:rsidRPr="00B63800">
              <w:rPr>
                <w:color w:val="000000"/>
                <w:sz w:val="16"/>
                <w:szCs w:val="16"/>
              </w:rPr>
              <w:t>+</w:t>
            </w:r>
            <w:proofErr w:type="spellStart"/>
            <w:r w:rsidRPr="00B63800">
              <w:rPr>
                <w:color w:val="000000"/>
                <w:sz w:val="16"/>
                <w:szCs w:val="16"/>
              </w:rPr>
              <w:t>MŠMT</w:t>
            </w:r>
            <w:proofErr w:type="spellEnd"/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prodej služeb (stravné, školné)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4 352,00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31,09%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ostatní výnosy (nájem, příjem z prodeje nábytku)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</w:rPr>
            </w:pPr>
            <w:r w:rsidRPr="00B6380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jiné výnosy (příjem za pronájem </w:t>
            </w:r>
            <w:proofErr w:type="gramStart"/>
            <w:r w:rsidRPr="00B63800">
              <w:rPr>
                <w:color w:val="000000"/>
                <w:sz w:val="18"/>
                <w:szCs w:val="18"/>
              </w:rPr>
              <w:t>tělocvičny,školné</w:t>
            </w:r>
            <w:proofErr w:type="gramEnd"/>
            <w:r w:rsidRPr="00B6380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40,00%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čerpání fondů (zapojení rezervního fondu)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ostatní výnosy z činnosti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úroky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851,94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dotace na mzdy od vybraných místních vládních institucí (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MŠMT</w:t>
            </w:r>
            <w:proofErr w:type="spellEnd"/>
            <w:r w:rsidRPr="00B6380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527 649,05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1 666 000,00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31,67%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příspěvky na provoz (dotace od zřizovatele-obce)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274 800,00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1 100 000,00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24,98%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výnosy celkem (</w:t>
            </w:r>
            <w:proofErr w:type="spellStart"/>
            <w:proofErr w:type="gramStart"/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tř.6</w:t>
            </w:r>
            <w:proofErr w:type="spellEnd"/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  <w:proofErr w:type="gramEnd"/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3800">
              <w:rPr>
                <w:b/>
                <w:bCs/>
                <w:color w:val="000000"/>
                <w:sz w:val="18"/>
                <w:szCs w:val="18"/>
              </w:rPr>
              <w:t>808 952,90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3800">
              <w:rPr>
                <w:b/>
                <w:bCs/>
                <w:color w:val="000000"/>
                <w:sz w:val="16"/>
                <w:szCs w:val="16"/>
              </w:rPr>
              <w:t>1 116 000,00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3800">
              <w:rPr>
                <w:b/>
                <w:bCs/>
                <w:color w:val="000000"/>
                <w:sz w:val="18"/>
                <w:szCs w:val="18"/>
              </w:rPr>
              <w:t>1 666 000,00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3800">
              <w:rPr>
                <w:b/>
                <w:bCs/>
                <w:color w:val="000000"/>
                <w:sz w:val="18"/>
                <w:szCs w:val="18"/>
              </w:rPr>
              <w:t>65,02%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2"/>
          <w:wAfter w:w="174" w:type="dxa"/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4855E3" w:rsidRDefault="00B63800" w:rsidP="00B6380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55E3">
              <w:rPr>
                <w:b/>
                <w:bCs/>
                <w:color w:val="000000"/>
                <w:sz w:val="20"/>
                <w:szCs w:val="20"/>
              </w:rPr>
              <w:t>Hospodářský výsledek k 31.</w:t>
            </w:r>
            <w:r w:rsidR="004855E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855E3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="004855E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855E3">
              <w:rPr>
                <w:b/>
                <w:bCs/>
                <w:color w:val="000000"/>
                <w:sz w:val="20"/>
                <w:szCs w:val="20"/>
              </w:rPr>
              <w:t xml:space="preserve">2012 je kladný ve výši </w:t>
            </w:r>
            <w:r w:rsidRPr="004855E3">
              <w:rPr>
                <w:b/>
                <w:bCs/>
                <w:color w:val="000000"/>
                <w:sz w:val="20"/>
                <w:szCs w:val="20"/>
                <w:u w:val="single"/>
              </w:rPr>
              <w:t>198.451,01</w:t>
            </w:r>
            <w:r w:rsidRPr="004855E3">
              <w:rPr>
                <w:b/>
                <w:bCs/>
                <w:color w:val="000000"/>
                <w:sz w:val="20"/>
                <w:szCs w:val="20"/>
              </w:rPr>
              <w:t xml:space="preserve"> Kč (účet 493) 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dotace (přijato)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skutečnost-vyčerpáno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rozpočet 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6"/>
                <w:szCs w:val="16"/>
              </w:rPr>
            </w:pPr>
            <w:r w:rsidRPr="00B63800">
              <w:rPr>
                <w:color w:val="000000"/>
                <w:sz w:val="16"/>
                <w:szCs w:val="16"/>
              </w:rPr>
              <w:t xml:space="preserve">% plnění </w:t>
            </w:r>
          </w:p>
        </w:tc>
      </w:tr>
      <w:tr w:rsidR="00B63800" w:rsidRPr="00B63800" w:rsidTr="00B63800">
        <w:trPr>
          <w:gridAfter w:val="1"/>
          <w:wAfter w:w="160" w:type="dxa"/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 xml:space="preserve">dotace 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OP</w:t>
            </w:r>
            <w:proofErr w:type="spellEnd"/>
            <w:r w:rsidRPr="00B6380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3800">
              <w:rPr>
                <w:color w:val="000000"/>
                <w:sz w:val="18"/>
                <w:szCs w:val="18"/>
              </w:rPr>
              <w:t>VK</w:t>
            </w:r>
            <w:proofErr w:type="spellEnd"/>
            <w:r w:rsidRPr="00B63800">
              <w:rPr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B63800">
              <w:rPr>
                <w:color w:val="000000"/>
                <w:sz w:val="18"/>
                <w:szCs w:val="18"/>
              </w:rPr>
              <w:t>EU,SR</w:t>
            </w:r>
            <w:proofErr w:type="gramEnd"/>
            <w:r w:rsidRPr="00B63800">
              <w:rPr>
                <w:color w:val="000000"/>
                <w:sz w:val="18"/>
                <w:szCs w:val="18"/>
              </w:rPr>
              <w:t xml:space="preserve">)  zatím má na účtu 374, nevstupuje do výsledku hospodaření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196 714,80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327 858,00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right"/>
              <w:rPr>
                <w:color w:val="000000"/>
                <w:sz w:val="18"/>
                <w:szCs w:val="18"/>
              </w:rPr>
            </w:pPr>
            <w:r w:rsidRPr="00B63800">
              <w:rPr>
                <w:color w:val="000000"/>
                <w:sz w:val="18"/>
                <w:szCs w:val="18"/>
              </w:rPr>
              <w:t>0,00%</w:t>
            </w: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4855E3" w:rsidP="00B638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Za </w:t>
            </w:r>
            <w:proofErr w:type="spellStart"/>
            <w:r>
              <w:rPr>
                <w:color w:val="000000"/>
                <w:sz w:val="18"/>
                <w:szCs w:val="18"/>
              </w:rPr>
              <w:t>FV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zapsala Zdeňka Debefová dne: 19. 6. 2012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016" w:rsidRDefault="00D51016" w:rsidP="00B63800">
            <w:pPr>
              <w:rPr>
                <w:color w:val="000000"/>
                <w:sz w:val="18"/>
                <w:szCs w:val="18"/>
              </w:rPr>
            </w:pPr>
          </w:p>
          <w:p w:rsidR="00B63800" w:rsidRPr="00B63800" w:rsidRDefault="00D51016" w:rsidP="00B638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Příloha: informace k programu </w:t>
            </w:r>
            <w:proofErr w:type="spellStart"/>
            <w:r>
              <w:rPr>
                <w:color w:val="000000"/>
                <w:sz w:val="18"/>
                <w:szCs w:val="18"/>
              </w:rPr>
              <w:t>OP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VK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– dotace pro naši školu (najdete v elektronické podobě na webových stránkách obce)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  <w:tr w:rsidR="00B63800" w:rsidRPr="00B63800" w:rsidTr="00B63800">
        <w:trPr>
          <w:gridAfter w:val="1"/>
          <w:wAfter w:w="160" w:type="dxa"/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00" w:rsidRPr="00B63800" w:rsidRDefault="00B63800" w:rsidP="00B6380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63800" w:rsidRDefault="00B63800" w:rsidP="00D820C2">
      <w:pPr>
        <w:tabs>
          <w:tab w:val="left" w:pos="2860"/>
        </w:tabs>
        <w:jc w:val="both"/>
      </w:pPr>
    </w:p>
    <w:p w:rsidR="00B63800" w:rsidRDefault="00B63800" w:rsidP="00D820C2">
      <w:pPr>
        <w:tabs>
          <w:tab w:val="left" w:pos="2860"/>
        </w:tabs>
        <w:jc w:val="both"/>
      </w:pPr>
    </w:p>
    <w:p w:rsidR="00B63800" w:rsidRDefault="00B63800" w:rsidP="00D820C2">
      <w:pPr>
        <w:tabs>
          <w:tab w:val="left" w:pos="2860"/>
        </w:tabs>
        <w:jc w:val="both"/>
      </w:pPr>
    </w:p>
    <w:p w:rsidR="00D820C2" w:rsidRDefault="00D820C2" w:rsidP="00D820C2">
      <w:pPr>
        <w:tabs>
          <w:tab w:val="left" w:pos="2860"/>
        </w:tabs>
        <w:jc w:val="both"/>
      </w:pPr>
    </w:p>
    <w:p w:rsidR="00D820C2" w:rsidRDefault="00D820C2" w:rsidP="00D820C2">
      <w:pPr>
        <w:tabs>
          <w:tab w:val="left" w:pos="2860"/>
        </w:tabs>
        <w:jc w:val="both"/>
      </w:pPr>
    </w:p>
    <w:p w:rsidR="00D820C2" w:rsidRDefault="00D820C2" w:rsidP="00D820C2">
      <w:pPr>
        <w:tabs>
          <w:tab w:val="left" w:pos="2860"/>
        </w:tabs>
        <w:jc w:val="both"/>
      </w:pPr>
    </w:p>
    <w:p w:rsidR="00D820C2" w:rsidRDefault="00D820C2" w:rsidP="00D820C2">
      <w:pPr>
        <w:tabs>
          <w:tab w:val="left" w:pos="2860"/>
        </w:tabs>
        <w:jc w:val="both"/>
      </w:pPr>
    </w:p>
    <w:p w:rsidR="00D820C2" w:rsidRDefault="00D820C2" w:rsidP="00D820C2">
      <w:pPr>
        <w:tabs>
          <w:tab w:val="left" w:pos="2860"/>
        </w:tabs>
        <w:jc w:val="both"/>
      </w:pPr>
    </w:p>
    <w:p w:rsidR="00963D21" w:rsidRDefault="00963D21"/>
    <w:p w:rsidR="00963D21" w:rsidRDefault="00963D21"/>
    <w:p w:rsidR="00963D21" w:rsidRDefault="00963D21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p w:rsidR="00B63800" w:rsidRDefault="00B63800"/>
    <w:sectPr w:rsidR="00B63800" w:rsidSect="00DA2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5E3" w:rsidRDefault="004855E3" w:rsidP="00377A66">
      <w:r>
        <w:separator/>
      </w:r>
    </w:p>
  </w:endnote>
  <w:endnote w:type="continuationSeparator" w:id="0">
    <w:p w:rsidR="004855E3" w:rsidRDefault="004855E3" w:rsidP="00377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5E3" w:rsidRDefault="004855E3" w:rsidP="00377A66">
      <w:r>
        <w:separator/>
      </w:r>
    </w:p>
  </w:footnote>
  <w:footnote w:type="continuationSeparator" w:id="0">
    <w:p w:rsidR="004855E3" w:rsidRDefault="004855E3" w:rsidP="00377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A2A8C"/>
    <w:rsid w:val="000328D5"/>
    <w:rsid w:val="000E53A7"/>
    <w:rsid w:val="002067A4"/>
    <w:rsid w:val="00245CC7"/>
    <w:rsid w:val="003722CB"/>
    <w:rsid w:val="00377A66"/>
    <w:rsid w:val="003C4AB8"/>
    <w:rsid w:val="004855E3"/>
    <w:rsid w:val="004F4830"/>
    <w:rsid w:val="0063299F"/>
    <w:rsid w:val="006724F8"/>
    <w:rsid w:val="0072196A"/>
    <w:rsid w:val="00963D21"/>
    <w:rsid w:val="00994D75"/>
    <w:rsid w:val="009E12EB"/>
    <w:rsid w:val="00B63800"/>
    <w:rsid w:val="00B931DE"/>
    <w:rsid w:val="00CB05E9"/>
    <w:rsid w:val="00D51016"/>
    <w:rsid w:val="00D820C2"/>
    <w:rsid w:val="00DA2A8C"/>
    <w:rsid w:val="00E87844"/>
    <w:rsid w:val="00F4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A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77A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77A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77A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7A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6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652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451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41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07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816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47664">
                                      <w:marLeft w:val="30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8" w:space="11" w:color="DDDDDD"/>
                                        <w:left w:val="single" w:sz="18" w:space="11" w:color="DDDDDD"/>
                                        <w:bottom w:val="single" w:sz="18" w:space="11" w:color="DDDDDD"/>
                                        <w:right w:val="single" w:sz="18" w:space="11" w:color="DDDDDD"/>
                                      </w:divBdr>
                                    </w:div>
                                    <w:div w:id="8948969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9711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507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54616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95585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93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527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78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3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95344">
                                      <w:marLeft w:val="30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8" w:space="11" w:color="DDDDDD"/>
                                        <w:left w:val="single" w:sz="18" w:space="11" w:color="DDDDDD"/>
                                        <w:bottom w:val="single" w:sz="18" w:space="11" w:color="DDDDDD"/>
                                        <w:right w:val="single" w:sz="18" w:space="11" w:color="DDDDDD"/>
                                      </w:divBdr>
                                    </w:div>
                                    <w:div w:id="34105619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5406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484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1154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1453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FDC1E-6D59-4A53-B68A-9626DA15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1668</Words>
  <Characters>9845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DEBEFOVA.ZDENKA</dc:creator>
  <cp:keywords/>
  <dc:description/>
  <cp:lastModifiedBy>DEBEFOVA.ZDENKA</cp:lastModifiedBy>
  <cp:revision>8</cp:revision>
  <dcterms:created xsi:type="dcterms:W3CDTF">2012-06-20T07:26:00Z</dcterms:created>
  <dcterms:modified xsi:type="dcterms:W3CDTF">2012-06-27T13:14:00Z</dcterms:modified>
</cp:coreProperties>
</file>